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F4361" w14:textId="5069C597" w:rsidR="007C62AC" w:rsidRPr="0087217D" w:rsidRDefault="006B2B00">
      <w:pPr>
        <w:rPr>
          <w:color w:val="00B050"/>
        </w:rPr>
      </w:pPr>
      <w:r>
        <w:t>6.3</w:t>
      </w:r>
      <w:r w:rsidR="00B64098">
        <w:t xml:space="preserve">.25   </w:t>
      </w:r>
      <w:r w:rsidR="0046726B">
        <w:t xml:space="preserve">Section </w:t>
      </w:r>
      <w:r w:rsidR="000741BE">
        <w:t>6.15</w:t>
      </w:r>
      <w:r w:rsidR="0046726B">
        <w:t xml:space="preserve">   </w:t>
      </w:r>
      <w:r w:rsidR="00AB6D58">
        <w:t xml:space="preserve"> </w:t>
      </w:r>
      <w:r w:rsidR="00B538D6">
        <w:t xml:space="preserve"> </w:t>
      </w:r>
      <w:r w:rsidR="00777622">
        <w:t>r</w:t>
      </w:r>
      <w:r>
        <w:t>evised</w:t>
      </w:r>
    </w:p>
    <w:p w14:paraId="391B5920" w14:textId="21C1D965" w:rsidR="008F2E55" w:rsidRDefault="008F2E55">
      <w:r>
        <w:rPr>
          <w:b/>
          <w:bCs/>
        </w:rPr>
        <w:t xml:space="preserve">6.15.1  Purpose:  </w:t>
      </w:r>
      <w:r w:rsidRPr="008F2E55">
        <w:t>The objective of this section</w:t>
      </w:r>
      <w:r>
        <w:t xml:space="preserve"> is to </w:t>
      </w:r>
      <w:r w:rsidR="00A57FF0">
        <w:t>encourage</w:t>
      </w:r>
      <w:r>
        <w:t xml:space="preserve"> more housing, specifically of the types </w:t>
      </w:r>
      <w:r w:rsidR="0084764F">
        <w:t xml:space="preserve">which </w:t>
      </w:r>
      <w:r>
        <w:t xml:space="preserve">enable greater diversity and affordability of Richmond’s housing  stock.  This goal is elaborated in the Richmond Town Plan and the Chittenden County Regional Planning Commission’s ECOS Plan.  This section is authorized by </w:t>
      </w:r>
      <w:r w:rsidR="005721C2">
        <w:t xml:space="preserve">24 </w:t>
      </w:r>
      <w:r>
        <w:t>VSA</w:t>
      </w:r>
      <w:r w:rsidR="005721C2">
        <w:t xml:space="preserve"> 4414 (7)(C)</w:t>
      </w:r>
      <w:r>
        <w:t>.</w:t>
      </w:r>
      <w:r w:rsidR="00B4128A">
        <w:t xml:space="preserve">  </w:t>
      </w:r>
    </w:p>
    <w:p w14:paraId="08F16495" w14:textId="32212A1B" w:rsidR="008F2E55" w:rsidRPr="00E917D8" w:rsidRDefault="008F2E55">
      <w:pPr>
        <w:rPr>
          <w:i/>
          <w:iCs/>
        </w:rPr>
      </w:pPr>
      <w:r>
        <w:rPr>
          <w:b/>
          <w:bCs/>
        </w:rPr>
        <w:t>6.15.2 Applicability:</w:t>
      </w:r>
      <w:r>
        <w:t xml:space="preserve">  Residential density bonuses consist of dwelling units that may be </w:t>
      </w:r>
      <w:r w:rsidR="00C316F3">
        <w:t>developed in</w:t>
      </w:r>
      <w:r>
        <w:t xml:space="preserve"> exce</w:t>
      </w:r>
      <w:r w:rsidR="00C316F3">
        <w:t>ss of</w:t>
      </w:r>
      <w:r>
        <w:t xml:space="preserve"> the stated </w:t>
      </w:r>
      <w:r w:rsidR="00E30C68">
        <w:t xml:space="preserve">base </w:t>
      </w:r>
      <w:r>
        <w:t xml:space="preserve">residential density </w:t>
      </w:r>
      <w:r w:rsidR="00415590" w:rsidRPr="00415590">
        <w:t>in specified</w:t>
      </w:r>
      <w:r w:rsidRPr="00415590">
        <w:t xml:space="preserve"> </w:t>
      </w:r>
      <w:r>
        <w:t>zoning districts</w:t>
      </w:r>
      <w:r w:rsidR="00240664">
        <w:t xml:space="preserve"> if certain criteria are met</w:t>
      </w:r>
      <w:r>
        <w:t xml:space="preserve">.  These bonuses will be available </w:t>
      </w:r>
      <w:r w:rsidR="00E15C89">
        <w:t xml:space="preserve">only </w:t>
      </w:r>
      <w:r>
        <w:t xml:space="preserve">in the zoning districts </w:t>
      </w:r>
      <w:r w:rsidR="00C316F3">
        <w:t xml:space="preserve">that </w:t>
      </w:r>
      <w:r w:rsidR="004C3C65">
        <w:t>s</w:t>
      </w:r>
      <w:r w:rsidR="00415590">
        <w:t>tate that they are allowed</w:t>
      </w:r>
      <w:r w:rsidR="004C3C65">
        <w:t xml:space="preserve"> in the subsection </w:t>
      </w:r>
      <w:r w:rsidR="00E30C68">
        <w:t xml:space="preserve">of that district </w:t>
      </w:r>
      <w:r w:rsidR="004C3C65">
        <w:t>entitled “Residential Density</w:t>
      </w:r>
      <w:r w:rsidR="006D18CD">
        <w:t>,</w:t>
      </w:r>
      <w:r w:rsidR="00E30C68">
        <w:t xml:space="preserve">” </w:t>
      </w:r>
      <w:r w:rsidR="006D18CD">
        <w:t xml:space="preserve"> and only as part of a residential or mixed-use PUD.</w:t>
      </w:r>
    </w:p>
    <w:p w14:paraId="5A195AD2" w14:textId="3334F19D" w:rsidR="004C3C65" w:rsidRPr="008871B2" w:rsidRDefault="008871B2" w:rsidP="008871B2">
      <w:pPr>
        <w:pStyle w:val="NoSpacing"/>
        <w:rPr>
          <w:b/>
          <w:bCs/>
        </w:rPr>
      </w:pPr>
      <w:r w:rsidRPr="008871B2">
        <w:rPr>
          <w:b/>
          <w:bCs/>
        </w:rPr>
        <w:t xml:space="preserve">6.15.3 General requirements </w:t>
      </w:r>
    </w:p>
    <w:p w14:paraId="181DC283" w14:textId="007D85D0" w:rsidR="008871B2" w:rsidRDefault="008871B2" w:rsidP="00847F7F">
      <w:pPr>
        <w:pStyle w:val="ListParagraph"/>
        <w:numPr>
          <w:ilvl w:val="0"/>
          <w:numId w:val="2"/>
        </w:numPr>
      </w:pPr>
      <w:r>
        <w:t>Density bonus units shall adhere to all other requirements of the district where they are to be developed</w:t>
      </w:r>
      <w:r w:rsidR="001F22BE">
        <w:t>.</w:t>
      </w:r>
    </w:p>
    <w:p w14:paraId="4A76D2A1" w14:textId="39F0F395" w:rsidR="000D0AD7" w:rsidRDefault="000D0AD7" w:rsidP="008871B2">
      <w:pPr>
        <w:pStyle w:val="ListParagraph"/>
        <w:numPr>
          <w:ilvl w:val="0"/>
          <w:numId w:val="2"/>
        </w:numPr>
      </w:pPr>
      <w:r>
        <w:t>All verifications and certifications will be the responsibility of the developer and will be submitted to the Richmond Planning and Zoning Department</w:t>
      </w:r>
      <w:r w:rsidR="00621AC2">
        <w:t>,</w:t>
      </w:r>
      <w:r>
        <w:t xml:space="preserve"> </w:t>
      </w:r>
      <w:r w:rsidR="00621AC2">
        <w:t xml:space="preserve">or to the Housing Committee if designated,  </w:t>
      </w:r>
      <w:r>
        <w:t>on the appropriate form</w:t>
      </w:r>
      <w:r w:rsidR="007161D6">
        <w:t>s (see Section 6.15.7)</w:t>
      </w:r>
      <w:r w:rsidR="00814E2F">
        <w:t xml:space="preserve"> </w:t>
      </w:r>
      <w:r w:rsidR="00814E2F" w:rsidRPr="00827145">
        <w:t>at the appropriate times or intervals</w:t>
      </w:r>
      <w:r w:rsidR="00814E2F">
        <w:rPr>
          <w:color w:val="00B050"/>
        </w:rPr>
        <w:t xml:space="preserve">. </w:t>
      </w:r>
    </w:p>
    <w:p w14:paraId="24110AC9" w14:textId="176877D2" w:rsidR="0069483F" w:rsidRPr="00814E2F" w:rsidRDefault="00AE4CD8" w:rsidP="00AE4CD8">
      <w:pPr>
        <w:pStyle w:val="ListParagraph"/>
        <w:numPr>
          <w:ilvl w:val="0"/>
          <w:numId w:val="2"/>
        </w:numPr>
        <w:rPr>
          <w:strike/>
        </w:rPr>
      </w:pPr>
      <w:r>
        <w:t>Any reference to “AMI” shall refer to the current VHFA chart entitled “Maximum rent and purchase price affordability thresholds by income and household size,</w:t>
      </w:r>
      <w:r w:rsidR="00CC681D">
        <w:t>”</w:t>
      </w:r>
      <w:r>
        <w:t xml:space="preserve">  and shall reference the  “Chittenden, Franklin, Grand Isle” line. “AMI” refers to the column  titled “Income level.” </w:t>
      </w:r>
    </w:p>
    <w:p w14:paraId="64F7A7B2" w14:textId="5F34C793" w:rsidR="004F7687" w:rsidRDefault="00CB2860" w:rsidP="004F7687">
      <w:pPr>
        <w:pStyle w:val="ListParagraph"/>
        <w:numPr>
          <w:ilvl w:val="0"/>
          <w:numId w:val="2"/>
        </w:numPr>
      </w:pPr>
      <w:r>
        <w:t xml:space="preserve">Applicants may apply for any </w:t>
      </w:r>
      <w:r w:rsidR="00F67148">
        <w:t xml:space="preserve">number or </w:t>
      </w:r>
      <w:r>
        <w:t xml:space="preserve">combination of density bonus units described in section 6.15,   provided that the total number of developed units does not exceed the Total Maximum </w:t>
      </w:r>
      <w:r w:rsidR="00814E2F">
        <w:t xml:space="preserve">Residential </w:t>
      </w:r>
      <w:r>
        <w:t xml:space="preserve">Density of the district in which the project is located. </w:t>
      </w:r>
    </w:p>
    <w:p w14:paraId="25B98DFB" w14:textId="74831CE0" w:rsidR="00CB2860" w:rsidRDefault="00CB2860" w:rsidP="00CB2860">
      <w:pPr>
        <w:pStyle w:val="ListParagraph"/>
        <w:numPr>
          <w:ilvl w:val="0"/>
          <w:numId w:val="2"/>
        </w:numPr>
      </w:pPr>
      <w:r>
        <w:t>Projects qualifying under Section 6.16  and 24 VSA 4303(2) “Affordable Housing Development” shall not be eligible for additional density bonus units under this section.</w:t>
      </w:r>
    </w:p>
    <w:p w14:paraId="78EC8BBB" w14:textId="77777777" w:rsidR="00CB2860" w:rsidRDefault="00CB2860" w:rsidP="00CB2860">
      <w:pPr>
        <w:pStyle w:val="ListParagraph"/>
        <w:ind w:left="1440"/>
      </w:pPr>
    </w:p>
    <w:p w14:paraId="5740370F" w14:textId="64FC25FD" w:rsidR="00547885" w:rsidRDefault="0099187A" w:rsidP="00547885">
      <w:pPr>
        <w:pStyle w:val="NoSpacing"/>
        <w:rPr>
          <w:b/>
          <w:bCs/>
        </w:rPr>
      </w:pPr>
      <w:r w:rsidRPr="00E028D4">
        <w:rPr>
          <w:b/>
          <w:bCs/>
        </w:rPr>
        <w:t xml:space="preserve">6.15.4 </w:t>
      </w:r>
      <w:r w:rsidR="005B3B6B">
        <w:rPr>
          <w:b/>
          <w:bCs/>
        </w:rPr>
        <w:t xml:space="preserve"> </w:t>
      </w:r>
      <w:r w:rsidR="006547A0">
        <w:rPr>
          <w:b/>
          <w:bCs/>
        </w:rPr>
        <w:t xml:space="preserve"> </w:t>
      </w:r>
      <w:r w:rsidR="00607E69">
        <w:rPr>
          <w:b/>
          <w:bCs/>
        </w:rPr>
        <w:t xml:space="preserve">Types of </w:t>
      </w:r>
      <w:r w:rsidR="00CB2860">
        <w:rPr>
          <w:b/>
          <w:bCs/>
        </w:rPr>
        <w:t>D</w:t>
      </w:r>
      <w:r w:rsidRPr="00E028D4">
        <w:rPr>
          <w:b/>
          <w:bCs/>
        </w:rPr>
        <w:t xml:space="preserve">ensity </w:t>
      </w:r>
      <w:r w:rsidR="00CB2860">
        <w:rPr>
          <w:b/>
          <w:bCs/>
        </w:rPr>
        <w:t>B</w:t>
      </w:r>
      <w:r w:rsidRPr="00E028D4">
        <w:rPr>
          <w:b/>
          <w:bCs/>
        </w:rPr>
        <w:t xml:space="preserve">onus </w:t>
      </w:r>
      <w:r w:rsidR="00CB2860">
        <w:rPr>
          <w:b/>
          <w:bCs/>
        </w:rPr>
        <w:t>U</w:t>
      </w:r>
      <w:r w:rsidRPr="00E028D4">
        <w:rPr>
          <w:b/>
          <w:bCs/>
        </w:rPr>
        <w:t>nit</w:t>
      </w:r>
      <w:r w:rsidR="00240664">
        <w:rPr>
          <w:b/>
          <w:bCs/>
        </w:rPr>
        <w:t xml:space="preserve">s </w:t>
      </w:r>
      <w:r w:rsidR="00381A6F">
        <w:rPr>
          <w:b/>
          <w:bCs/>
        </w:rPr>
        <w:t>Available</w:t>
      </w:r>
    </w:p>
    <w:p w14:paraId="531E28EC" w14:textId="77777777" w:rsidR="00240664" w:rsidRDefault="00240664" w:rsidP="00547885">
      <w:pPr>
        <w:pStyle w:val="NoSpacing"/>
        <w:rPr>
          <w:b/>
          <w:bCs/>
        </w:rPr>
      </w:pPr>
    </w:p>
    <w:p w14:paraId="09E5CFCF" w14:textId="24BDC877" w:rsidR="0071029D" w:rsidRPr="003E06E7" w:rsidRDefault="00547885" w:rsidP="00240664">
      <w:pPr>
        <w:ind w:left="720"/>
      </w:pPr>
      <w:r>
        <w:rPr>
          <w:b/>
          <w:bCs/>
        </w:rPr>
        <w:t xml:space="preserve">a) </w:t>
      </w:r>
      <w:r w:rsidR="00125087">
        <w:rPr>
          <w:b/>
          <w:bCs/>
        </w:rPr>
        <w:t xml:space="preserve"> </w:t>
      </w:r>
      <w:r w:rsidR="000204A8">
        <w:rPr>
          <w:b/>
          <w:bCs/>
        </w:rPr>
        <w:t>Accessible/</w:t>
      </w:r>
      <w:r w:rsidR="00125087">
        <w:rPr>
          <w:b/>
          <w:bCs/>
        </w:rPr>
        <w:t xml:space="preserve">Adaptable </w:t>
      </w:r>
      <w:r w:rsidR="0071029D">
        <w:rPr>
          <w:b/>
          <w:bCs/>
        </w:rPr>
        <w:t xml:space="preserve"> housing</w:t>
      </w:r>
      <w:r w:rsidR="0071029D" w:rsidRPr="0071029D">
        <w:t>:</w:t>
      </w:r>
      <w:r w:rsidR="00240664">
        <w:t xml:space="preserve"> </w:t>
      </w:r>
      <w:r w:rsidR="0071029D" w:rsidRPr="0071029D">
        <w:t xml:space="preserve"> </w:t>
      </w:r>
      <w:r w:rsidR="00240664">
        <w:t xml:space="preserve">Development of </w:t>
      </w:r>
      <w:r w:rsidR="00C5793E">
        <w:t>two</w:t>
      </w:r>
      <w:r w:rsidR="00240664">
        <w:t xml:space="preserve"> unit</w:t>
      </w:r>
      <w:r w:rsidR="00C5793E">
        <w:t>s</w:t>
      </w:r>
      <w:r w:rsidR="00240664">
        <w:t xml:space="preserve"> of </w:t>
      </w:r>
      <w:r w:rsidR="000204A8">
        <w:t>accessible/</w:t>
      </w:r>
      <w:r w:rsidR="00240664">
        <w:t>adaptable housing</w:t>
      </w:r>
      <w:r w:rsidR="00240664" w:rsidRPr="005B3B6B">
        <w:rPr>
          <w:color w:val="C00000"/>
        </w:rPr>
        <w:t xml:space="preserve"> </w:t>
      </w:r>
      <w:r w:rsidR="000204A8" w:rsidRPr="000204A8">
        <w:t xml:space="preserve">as  </w:t>
      </w:r>
      <w:r w:rsidR="000204A8">
        <w:t xml:space="preserve">described in Subsection 6.15.5 </w:t>
      </w:r>
      <w:r w:rsidR="00240664" w:rsidRPr="005B3B6B">
        <w:t xml:space="preserve">shall allow for one additional market-rate unit to be developed in addition to the </w:t>
      </w:r>
      <w:r w:rsidR="009B19C8" w:rsidRPr="00216C68">
        <w:t>two</w:t>
      </w:r>
      <w:r w:rsidR="009B19C8">
        <w:rPr>
          <w:color w:val="00B050"/>
        </w:rPr>
        <w:t xml:space="preserve"> </w:t>
      </w:r>
      <w:r w:rsidR="00240664" w:rsidRPr="005B3B6B">
        <w:t xml:space="preserve">qualifying </w:t>
      </w:r>
      <w:r w:rsidR="000204A8">
        <w:t>accessible/</w:t>
      </w:r>
      <w:r w:rsidR="00C5793E">
        <w:t xml:space="preserve">adaptable </w:t>
      </w:r>
      <w:r w:rsidR="00240664" w:rsidRPr="005B3B6B">
        <w:t>unit</w:t>
      </w:r>
      <w:r w:rsidR="000204A8">
        <w:t>s</w:t>
      </w:r>
      <w:r w:rsidR="00240664" w:rsidRPr="005B3B6B">
        <w:t xml:space="preserve">, providing that the Total Maximum Density of the </w:t>
      </w:r>
      <w:r w:rsidR="00C74360">
        <w:t xml:space="preserve">zoning </w:t>
      </w:r>
      <w:r w:rsidR="00240664" w:rsidRPr="005B3B6B">
        <w:t>district in which the project is located is not exceeded</w:t>
      </w:r>
      <w:r w:rsidR="00381A6F">
        <w:t xml:space="preserve"> by the total number of units </w:t>
      </w:r>
      <w:r w:rsidR="00381A6F">
        <w:lastRenderedPageBreak/>
        <w:t>developed</w:t>
      </w:r>
      <w:r w:rsidR="00240664" w:rsidRPr="005B3B6B">
        <w:t xml:space="preserve">. </w:t>
      </w:r>
      <w:r w:rsidR="00240664">
        <w:t xml:space="preserve">  </w:t>
      </w:r>
      <w:r w:rsidR="000204A8">
        <w:t>Accessible/</w:t>
      </w:r>
      <w:r w:rsidR="00240664">
        <w:t xml:space="preserve">adaptable </w:t>
      </w:r>
      <w:r w:rsidR="0071029D" w:rsidRPr="0071029D">
        <w:t>dwelling unit</w:t>
      </w:r>
      <w:r w:rsidR="00125087">
        <w:t>s</w:t>
      </w:r>
      <w:r w:rsidR="0071029D">
        <w:t xml:space="preserve">  </w:t>
      </w:r>
      <w:r w:rsidR="00125087">
        <w:t>are</w:t>
      </w:r>
      <w:r w:rsidR="0071029D">
        <w:t xml:space="preserve"> </w:t>
      </w:r>
      <w:r w:rsidR="00240664">
        <w:t xml:space="preserve">those </w:t>
      </w:r>
      <w:r w:rsidR="00125087">
        <w:t xml:space="preserve">designed </w:t>
      </w:r>
      <w:r w:rsidR="00CC681D">
        <w:t xml:space="preserve">and constructed </w:t>
      </w:r>
      <w:r w:rsidR="00125087">
        <w:t xml:space="preserve">for those </w:t>
      </w:r>
      <w:r w:rsidR="00D41D12" w:rsidRPr="00AB6D58">
        <w:t xml:space="preserve">living with or </w:t>
      </w:r>
      <w:r w:rsidR="00AB6D58" w:rsidRPr="00AB6D58">
        <w:t xml:space="preserve">able to be </w:t>
      </w:r>
      <w:r w:rsidR="00D41D12" w:rsidRPr="00AB6D58">
        <w:t xml:space="preserve">visited by those </w:t>
      </w:r>
      <w:r w:rsidR="00125087">
        <w:t xml:space="preserve">with physical </w:t>
      </w:r>
      <w:r w:rsidR="006B2B00">
        <w:t>disabilities</w:t>
      </w:r>
      <w:r w:rsidR="00D65707">
        <w:t xml:space="preserve">, </w:t>
      </w:r>
      <w:r w:rsidR="000204A8">
        <w:t>having</w:t>
      </w:r>
      <w:r w:rsidR="00D65707">
        <w:t xml:space="preserve"> features</w:t>
      </w:r>
      <w:r w:rsidR="00125087">
        <w:t xml:space="preserve"> </w:t>
      </w:r>
      <w:r w:rsidR="00D768B7">
        <w:t xml:space="preserve">as listed </w:t>
      </w:r>
      <w:r w:rsidR="00C2774A">
        <w:t xml:space="preserve">in Subsection 6.15.5 below. </w:t>
      </w:r>
      <w:r w:rsidR="003E06E7" w:rsidRPr="003E06E7">
        <w:rPr>
          <w:i/>
          <w:iCs/>
        </w:rPr>
        <w:t xml:space="preserve"> </w:t>
      </w:r>
      <w:r w:rsidR="003E06E7" w:rsidRPr="003E06E7">
        <w:t>They may be marketed</w:t>
      </w:r>
      <w:r w:rsidR="003E06E7">
        <w:t xml:space="preserve"> as “adaptable” units and rented or sold at market rates.  There </w:t>
      </w:r>
      <w:r w:rsidR="000204A8">
        <w:t>is,</w:t>
      </w:r>
      <w:r w:rsidR="003E06E7">
        <w:t xml:space="preserve"> however, no requirement that they be occupied by  physically</w:t>
      </w:r>
      <w:r w:rsidR="00216C68">
        <w:t xml:space="preserve"> </w:t>
      </w:r>
      <w:r w:rsidR="006B2B00">
        <w:t xml:space="preserve">disabled </w:t>
      </w:r>
      <w:r w:rsidR="003E06E7">
        <w:t xml:space="preserve">residents. </w:t>
      </w:r>
      <w:r w:rsidR="0094108B">
        <w:t>All</w:t>
      </w:r>
      <w:r w:rsidR="001835CE">
        <w:t xml:space="preserve"> </w:t>
      </w:r>
      <w:r w:rsidR="000204A8">
        <w:t>accessible/</w:t>
      </w:r>
      <w:r w:rsidR="001835CE">
        <w:t xml:space="preserve">adaptable features shall be </w:t>
      </w:r>
      <w:r w:rsidR="000204A8">
        <w:t xml:space="preserve">visually confirmed </w:t>
      </w:r>
      <w:r w:rsidR="0013105B">
        <w:t>at on-site inspection</w:t>
      </w:r>
      <w:r w:rsidR="000204A8">
        <w:t xml:space="preserve"> </w:t>
      </w:r>
      <w:r w:rsidR="00C5793E">
        <w:t xml:space="preserve"> </w:t>
      </w:r>
      <w:r w:rsidR="001835CE">
        <w:t>prior to the CO being issued</w:t>
      </w:r>
      <w:r w:rsidR="0094108B">
        <w:t>, including those required by 20 VSA 2907 (see subsection 6.15.5.4).</w:t>
      </w:r>
    </w:p>
    <w:p w14:paraId="34351CBD" w14:textId="10ECB2BD" w:rsidR="001F22BE" w:rsidRPr="00240664" w:rsidRDefault="00240664" w:rsidP="00AA5929">
      <w:pPr>
        <w:ind w:left="720"/>
      </w:pPr>
      <w:r w:rsidRPr="00240664">
        <w:rPr>
          <w:b/>
          <w:bCs/>
        </w:rPr>
        <w:t>b)</w:t>
      </w:r>
      <w:r>
        <w:t xml:space="preserve">  </w:t>
      </w:r>
      <w:r w:rsidRPr="00240664">
        <w:rPr>
          <w:b/>
          <w:bCs/>
        </w:rPr>
        <w:t xml:space="preserve">  True, income-sensitive affordable housing (rent limited and income sensitive):  </w:t>
      </w:r>
      <w:r w:rsidRPr="000B614B">
        <w:t>Development of</w:t>
      </w:r>
      <w:r>
        <w:t xml:space="preserve"> one unit of affordable housing,  as described  </w:t>
      </w:r>
      <w:r w:rsidR="00B0601F">
        <w:t>in Subsection 6.15.6</w:t>
      </w:r>
      <w:r w:rsidR="00C2774A">
        <w:t xml:space="preserve"> below</w:t>
      </w:r>
      <w:r>
        <w:t>,  shall allow for</w:t>
      </w:r>
      <w:r w:rsidRPr="00F8456A">
        <w:t xml:space="preserve"> </w:t>
      </w:r>
      <w:r>
        <w:t xml:space="preserve">four additional market-rate units to be developed in addition to the qualifying </w:t>
      </w:r>
      <w:r w:rsidR="00C74360">
        <w:t xml:space="preserve">true affordable </w:t>
      </w:r>
      <w:r>
        <w:t xml:space="preserve">unit, providing that the Total Maximum Density of </w:t>
      </w:r>
      <w:r w:rsidR="00C74360">
        <w:t>the zoning district in which the project is located is not exceeded</w:t>
      </w:r>
      <w:r w:rsidR="00381A6F">
        <w:t xml:space="preserve"> by the total number of units developed</w:t>
      </w:r>
      <w:r w:rsidR="00C74360">
        <w:t xml:space="preserve">. </w:t>
      </w:r>
    </w:p>
    <w:p w14:paraId="787A150F" w14:textId="77777777" w:rsidR="00425707" w:rsidRDefault="00425707" w:rsidP="000204A8">
      <w:pPr>
        <w:pStyle w:val="NoSpacing"/>
        <w:rPr>
          <w:b/>
          <w:bCs/>
        </w:rPr>
      </w:pPr>
    </w:p>
    <w:p w14:paraId="78CEB02A" w14:textId="169F4DD8" w:rsidR="00024E44" w:rsidRDefault="000204A8" w:rsidP="000204A8">
      <w:pPr>
        <w:pStyle w:val="NoSpacing"/>
        <w:rPr>
          <w:b/>
          <w:bCs/>
        </w:rPr>
      </w:pPr>
      <w:r>
        <w:rPr>
          <w:b/>
          <w:bCs/>
        </w:rPr>
        <w:t>6.15.5 Requirements for Accessible/adaptable dwelling units</w:t>
      </w:r>
    </w:p>
    <w:p w14:paraId="701DDE4E" w14:textId="77777777" w:rsidR="00AA5929" w:rsidRDefault="00AA5929" w:rsidP="006534B1">
      <w:pPr>
        <w:rPr>
          <w:b/>
          <w:bCs/>
        </w:rPr>
      </w:pPr>
    </w:p>
    <w:p w14:paraId="2FB983D4" w14:textId="49E10956" w:rsidR="00C57697" w:rsidRPr="00D41D12" w:rsidRDefault="00C57697" w:rsidP="006534B1">
      <w:pPr>
        <w:rPr>
          <w:color w:val="00B050"/>
        </w:rPr>
      </w:pPr>
      <w:r w:rsidRPr="00445DFD">
        <w:rPr>
          <w:b/>
          <w:bCs/>
        </w:rPr>
        <w:t>6.1</w:t>
      </w:r>
      <w:r w:rsidR="005A744C">
        <w:rPr>
          <w:b/>
          <w:bCs/>
        </w:rPr>
        <w:t>5</w:t>
      </w:r>
      <w:r w:rsidRPr="00445DFD">
        <w:rPr>
          <w:b/>
          <w:bCs/>
        </w:rPr>
        <w:t>.</w:t>
      </w:r>
      <w:r>
        <w:rPr>
          <w:b/>
          <w:bCs/>
        </w:rPr>
        <w:t>5.1  Accessible/ adaptable dwelling units</w:t>
      </w:r>
      <w:r>
        <w:t xml:space="preserve"> </w:t>
      </w:r>
      <w:r w:rsidR="00601BB9" w:rsidRPr="00AB6D58">
        <w:t xml:space="preserve">are based upon </w:t>
      </w:r>
      <w:r w:rsidRPr="00AB6D58">
        <w:t xml:space="preserve"> </w:t>
      </w:r>
      <w:r w:rsidR="00601BB9" w:rsidRPr="00AB6D58">
        <w:t>the standards</w:t>
      </w:r>
      <w:r w:rsidRPr="00AB6D58">
        <w:t xml:space="preserve"> </w:t>
      </w:r>
      <w:r>
        <w:t xml:space="preserve">established by the </w:t>
      </w:r>
      <w:r w:rsidRPr="00445DFD">
        <w:rPr>
          <w:b/>
          <w:bCs/>
        </w:rPr>
        <w:t>Uniform Federal Accessibility Standards</w:t>
      </w:r>
      <w:r>
        <w:rPr>
          <w:b/>
          <w:bCs/>
        </w:rPr>
        <w:t xml:space="preserve">  (UFAS) </w:t>
      </w:r>
      <w:r w:rsidR="00BB1B6A" w:rsidRPr="00AB6D58">
        <w:t>and the</w:t>
      </w:r>
      <w:r w:rsidR="00BB1B6A" w:rsidRPr="00AB6D58">
        <w:rPr>
          <w:b/>
          <w:bCs/>
        </w:rPr>
        <w:t xml:space="preserve"> Vermont Access Board </w:t>
      </w:r>
      <w:r w:rsidRPr="00AB6D58">
        <w:t xml:space="preserve">to comfortably and safely house those with physical </w:t>
      </w:r>
      <w:r w:rsidR="007659D7">
        <w:t>disabilities</w:t>
      </w:r>
      <w:r w:rsidR="00D41D12" w:rsidRPr="00AB6D58">
        <w:t xml:space="preserve">, and </w:t>
      </w:r>
      <w:r w:rsidR="00601BB9" w:rsidRPr="00AB6D58">
        <w:t xml:space="preserve">to </w:t>
      </w:r>
      <w:r w:rsidR="00D41D12" w:rsidRPr="00AB6D58">
        <w:t xml:space="preserve">allow </w:t>
      </w:r>
      <w:r w:rsidR="00601BB9" w:rsidRPr="00AB6D58">
        <w:t xml:space="preserve">those with </w:t>
      </w:r>
      <w:r w:rsidR="00E41C83" w:rsidRPr="00AB6D58">
        <w:t xml:space="preserve">physical </w:t>
      </w:r>
      <w:r w:rsidR="00D41D12" w:rsidRPr="00AB6D58">
        <w:t>disab</w:t>
      </w:r>
      <w:r w:rsidR="00601BB9" w:rsidRPr="00AB6D58">
        <w:t xml:space="preserve">ilities to </w:t>
      </w:r>
      <w:r w:rsidR="00D41D12" w:rsidRPr="00AB6D58">
        <w:t xml:space="preserve"> visit</w:t>
      </w:r>
      <w:r w:rsidR="00601BB9" w:rsidRPr="00AB6D58">
        <w:t xml:space="preserve"> a dwelling unit</w:t>
      </w:r>
      <w:r w:rsidR="00D41D12" w:rsidRPr="00AB6D58">
        <w:t>.</w:t>
      </w:r>
      <w:r w:rsidRPr="00AB6D58">
        <w:t xml:space="preserve">  In order for </w:t>
      </w:r>
      <w:r>
        <w:t xml:space="preserve">dwelling units to be considered </w:t>
      </w:r>
      <w:r>
        <w:rPr>
          <w:b/>
          <w:bCs/>
        </w:rPr>
        <w:t>ac</w:t>
      </w:r>
      <w:r w:rsidR="003E243B">
        <w:rPr>
          <w:b/>
          <w:bCs/>
        </w:rPr>
        <w:t>c</w:t>
      </w:r>
      <w:r>
        <w:rPr>
          <w:b/>
          <w:bCs/>
        </w:rPr>
        <w:t xml:space="preserve">essible/adaptable under </w:t>
      </w:r>
      <w:r w:rsidR="00AB6D58">
        <w:t xml:space="preserve">this section of </w:t>
      </w:r>
      <w:r>
        <w:t xml:space="preserve">the Richmond Zoning Regulations,  </w:t>
      </w:r>
      <w:r w:rsidR="003E243B">
        <w:t xml:space="preserve">the dwelling unit shall have a minimum of 400 sf of floor area, and </w:t>
      </w:r>
      <w:r>
        <w:t>certain features of these units shall be “accessible”  meaning able to be navigated by a wheelchair-bound individual, and other features may be</w:t>
      </w:r>
      <w:r w:rsidR="005A744C">
        <w:t xml:space="preserve"> </w:t>
      </w:r>
      <w:r>
        <w:t xml:space="preserve"> “adaptable,” meaning relatively easy to convert to fully accessible if need be.  For features that are adaptable, consumer information must be provided </w:t>
      </w:r>
      <w:r w:rsidR="00C2774A">
        <w:t>and documented prior to the C</w:t>
      </w:r>
      <w:r w:rsidR="00E41C83">
        <w:t>ertificate of Occupancy</w:t>
      </w:r>
      <w:r w:rsidR="00C2774A">
        <w:t xml:space="preserve">, </w:t>
      </w:r>
      <w:r>
        <w:t>so prospective tenants are aware that these features may be mad</w:t>
      </w:r>
      <w:r w:rsidRPr="00AB6D58">
        <w:t>e accessible.</w:t>
      </w:r>
      <w:r w:rsidR="00D41D12" w:rsidRPr="00AB6D58">
        <w:t xml:space="preserve">  The adaptable  features are based on the “Universal Design Policy” of the Vermont Housing Finance Agency and the Vermont Access Rules for Adaptable and Visitable Dwelling Units. </w:t>
      </w:r>
    </w:p>
    <w:p w14:paraId="50BC495B" w14:textId="757F0C97" w:rsidR="003E243B" w:rsidRPr="00160069" w:rsidRDefault="003E243B" w:rsidP="006534B1">
      <w:pPr>
        <w:pStyle w:val="NoSpacing"/>
        <w:rPr>
          <w:b/>
          <w:bCs/>
        </w:rPr>
      </w:pPr>
      <w:r w:rsidRPr="00160069">
        <w:rPr>
          <w:b/>
          <w:bCs/>
        </w:rPr>
        <w:t>6.1</w:t>
      </w:r>
      <w:r w:rsidR="005A744C">
        <w:rPr>
          <w:b/>
          <w:bCs/>
        </w:rPr>
        <w:t>5</w:t>
      </w:r>
      <w:r w:rsidRPr="00160069">
        <w:rPr>
          <w:b/>
          <w:bCs/>
        </w:rPr>
        <w:t>.</w:t>
      </w:r>
      <w:r>
        <w:rPr>
          <w:b/>
          <w:bCs/>
        </w:rPr>
        <w:t>5.</w:t>
      </w:r>
      <w:r w:rsidRPr="00160069">
        <w:rPr>
          <w:b/>
          <w:bCs/>
        </w:rPr>
        <w:t xml:space="preserve">2  Required  features of the dwelling unit site </w:t>
      </w:r>
    </w:p>
    <w:p w14:paraId="62570618" w14:textId="7FCA5555" w:rsidR="003E243B" w:rsidRDefault="003E243B" w:rsidP="003E243B">
      <w:pPr>
        <w:pStyle w:val="NoSpacing"/>
        <w:numPr>
          <w:ilvl w:val="0"/>
          <w:numId w:val="13"/>
        </w:numPr>
      </w:pPr>
      <w:r>
        <w:t xml:space="preserve">Accessible </w:t>
      </w:r>
      <w:r w:rsidRPr="00160069">
        <w:t>to</w:t>
      </w:r>
      <w:r>
        <w:t xml:space="preserve"> designated accessible parking space, and to nearest road or sidewalk network by means of a </w:t>
      </w:r>
      <w:r w:rsidR="005A744C">
        <w:t xml:space="preserve">paved </w:t>
      </w:r>
      <w:r>
        <w:t>sidewalk or other safe route</w:t>
      </w:r>
    </w:p>
    <w:p w14:paraId="462A701C" w14:textId="77777777" w:rsidR="00AA5929" w:rsidRDefault="003E243B" w:rsidP="006534B1">
      <w:pPr>
        <w:pStyle w:val="NoSpacing"/>
        <w:numPr>
          <w:ilvl w:val="0"/>
          <w:numId w:val="13"/>
        </w:numPr>
      </w:pPr>
      <w:r>
        <w:t>Adequate outdoor lighting</w:t>
      </w:r>
    </w:p>
    <w:p w14:paraId="141B2973" w14:textId="77777777" w:rsidR="008B7BFA" w:rsidRDefault="008B7BFA" w:rsidP="008B7BFA">
      <w:pPr>
        <w:pStyle w:val="NoSpacing"/>
        <w:rPr>
          <w:b/>
          <w:bCs/>
        </w:rPr>
      </w:pPr>
    </w:p>
    <w:p w14:paraId="1E0F8223" w14:textId="6D489223" w:rsidR="003E243B" w:rsidRPr="00AA5929" w:rsidRDefault="003E243B" w:rsidP="008B7BFA">
      <w:pPr>
        <w:pStyle w:val="NoSpacing"/>
      </w:pPr>
      <w:r w:rsidRPr="00AA5929">
        <w:rPr>
          <w:b/>
          <w:bCs/>
        </w:rPr>
        <w:t>6.1</w:t>
      </w:r>
      <w:r w:rsidR="005A744C" w:rsidRPr="00AA5929">
        <w:rPr>
          <w:b/>
          <w:bCs/>
        </w:rPr>
        <w:t>5</w:t>
      </w:r>
      <w:r w:rsidRPr="00AA5929">
        <w:rPr>
          <w:b/>
          <w:bCs/>
        </w:rPr>
        <w:t>.5.3 Required  features of the building containing the dwelling unit</w:t>
      </w:r>
    </w:p>
    <w:p w14:paraId="540041B2" w14:textId="77777777" w:rsidR="003E243B" w:rsidRPr="00AB6D58" w:rsidRDefault="003E243B" w:rsidP="003E243B">
      <w:pPr>
        <w:pStyle w:val="NoSpacing"/>
        <w:numPr>
          <w:ilvl w:val="0"/>
          <w:numId w:val="14"/>
        </w:numPr>
      </w:pPr>
      <w:r w:rsidRPr="00AB6D58">
        <w:t>At least one entrance to the building  must be accessible</w:t>
      </w:r>
    </w:p>
    <w:p w14:paraId="28E5205C" w14:textId="3590F394" w:rsidR="003E243B" w:rsidRPr="00AB6D58" w:rsidRDefault="003E243B" w:rsidP="003E243B">
      <w:pPr>
        <w:pStyle w:val="NoSpacing"/>
        <w:numPr>
          <w:ilvl w:val="0"/>
          <w:numId w:val="14"/>
        </w:numPr>
        <w:rPr>
          <w:b/>
          <w:bCs/>
        </w:rPr>
      </w:pPr>
      <w:r w:rsidRPr="00AB6D58">
        <w:lastRenderedPageBreak/>
        <w:t xml:space="preserve">Elevator if dwelling unit is above </w:t>
      </w:r>
      <w:r w:rsidR="00064D07" w:rsidRPr="00AB6D58">
        <w:t xml:space="preserve">the </w:t>
      </w:r>
      <w:r w:rsidR="00D41D12" w:rsidRPr="00AB6D58">
        <w:t>first</w:t>
      </w:r>
      <w:r w:rsidRPr="00AB6D58">
        <w:t xml:space="preserve"> floor</w:t>
      </w:r>
    </w:p>
    <w:p w14:paraId="791722F7" w14:textId="09C6395F" w:rsidR="003E243B" w:rsidRPr="00D10102" w:rsidRDefault="003E243B" w:rsidP="003E243B">
      <w:pPr>
        <w:pStyle w:val="NoSpacing"/>
        <w:numPr>
          <w:ilvl w:val="0"/>
          <w:numId w:val="14"/>
        </w:numPr>
        <w:rPr>
          <w:b/>
          <w:bCs/>
        </w:rPr>
      </w:pPr>
      <w:r>
        <w:t>Memory-promoting wayfinding cue</w:t>
      </w:r>
      <w:r w:rsidR="00972008" w:rsidRPr="00216C68">
        <w:t>s</w:t>
      </w:r>
      <w:r>
        <w:t xml:space="preserve"> to building or unit (for example, different paint color for unit</w:t>
      </w:r>
      <w:r w:rsidR="000742AB">
        <w:t xml:space="preserve"> or other indicators)</w:t>
      </w:r>
    </w:p>
    <w:p w14:paraId="07A54AC1" w14:textId="77777777" w:rsidR="003E243B" w:rsidRDefault="003E243B" w:rsidP="003E243B">
      <w:pPr>
        <w:pStyle w:val="NoSpacing"/>
        <w:ind w:left="720"/>
        <w:rPr>
          <w:b/>
          <w:bCs/>
        </w:rPr>
      </w:pPr>
    </w:p>
    <w:p w14:paraId="7A4F106A" w14:textId="2098EDB3" w:rsidR="003E243B" w:rsidRDefault="003E243B" w:rsidP="006534B1">
      <w:pPr>
        <w:pStyle w:val="NoSpacing"/>
        <w:rPr>
          <w:b/>
          <w:bCs/>
        </w:rPr>
      </w:pPr>
      <w:r>
        <w:rPr>
          <w:b/>
          <w:bCs/>
        </w:rPr>
        <w:t>6.1</w:t>
      </w:r>
      <w:r w:rsidR="005A744C">
        <w:rPr>
          <w:b/>
          <w:bCs/>
        </w:rPr>
        <w:t>5</w:t>
      </w:r>
      <w:r>
        <w:rPr>
          <w:b/>
          <w:bCs/>
        </w:rPr>
        <w:t>.5.4  Required  features of the dwelling unit</w:t>
      </w:r>
    </w:p>
    <w:p w14:paraId="4E55629B" w14:textId="55F84B21" w:rsidR="005558DC" w:rsidRPr="00AB6D58" w:rsidRDefault="00B538D6" w:rsidP="00AB6D58">
      <w:pPr>
        <w:pStyle w:val="NoSpacing"/>
      </w:pPr>
      <w:r w:rsidRPr="00AB6D58">
        <w:t xml:space="preserve"> </w:t>
      </w:r>
      <w:r w:rsidR="00601BB9" w:rsidRPr="00AB6D58">
        <w:t xml:space="preserve">All </w:t>
      </w:r>
      <w:r w:rsidRPr="00AB6D58">
        <w:t xml:space="preserve"> new residential dwelling units </w:t>
      </w:r>
      <w:r w:rsidR="00601BB9" w:rsidRPr="00AB6D58">
        <w:t>shall</w:t>
      </w:r>
      <w:r w:rsidRPr="00AB6D58">
        <w:t xml:space="preserve"> comply with</w:t>
      </w:r>
      <w:r w:rsidR="00601BB9" w:rsidRPr="00AB6D58">
        <w:t xml:space="preserve"> </w:t>
      </w:r>
      <w:r w:rsidRPr="00AB6D58">
        <w:t>20 VSA 2907</w:t>
      </w:r>
      <w:r w:rsidR="00AB6D58">
        <w:t>.</w:t>
      </w:r>
      <w:r w:rsidR="00601BB9" w:rsidRPr="00AB6D58">
        <w:t xml:space="preserve"> </w:t>
      </w:r>
      <w:r w:rsidRPr="00AB6D58">
        <w:t xml:space="preserve">  </w:t>
      </w:r>
      <w:r w:rsidR="00876236">
        <w:t>These features shall be visually inspected for compliance prior to the issuance of a Certificate of Occupancy.</w:t>
      </w:r>
    </w:p>
    <w:p w14:paraId="7B6926A0" w14:textId="746C6938" w:rsidR="005558DC" w:rsidRDefault="008F64B6" w:rsidP="005558DC">
      <w:pPr>
        <w:pStyle w:val="NoSpacing"/>
      </w:pPr>
      <w:r>
        <w:tab/>
      </w:r>
    </w:p>
    <w:p w14:paraId="542FFC79" w14:textId="32BCBBF1" w:rsidR="005558DC" w:rsidRPr="00AB6D58" w:rsidRDefault="005558DC" w:rsidP="005558DC">
      <w:pPr>
        <w:pStyle w:val="NoSpacing"/>
      </w:pPr>
      <w:r w:rsidRPr="00AB6D58">
        <w:rPr>
          <w:b/>
          <w:bCs/>
        </w:rPr>
        <w:t>In addition to these requirements</w:t>
      </w:r>
      <w:r w:rsidRPr="00AB6D58">
        <w:t xml:space="preserve">, density bonus adaptable/accessible units </w:t>
      </w:r>
      <w:r w:rsidR="00601BB9" w:rsidRPr="00AB6D58">
        <w:t xml:space="preserve">available in these Zoning Regulations </w:t>
      </w:r>
      <w:r w:rsidRPr="00AB6D58">
        <w:t>shall have the following</w:t>
      </w:r>
      <w:r w:rsidR="006A69CF" w:rsidRPr="00AB6D58">
        <w:t xml:space="preserve"> </w:t>
      </w:r>
      <w:r w:rsidR="00601BB9" w:rsidRPr="00AB6D58">
        <w:t xml:space="preserve">features </w:t>
      </w:r>
      <w:r w:rsidR="006A69CF" w:rsidRPr="00AB6D58">
        <w:t>which will be visually inspected prior to a Certificate of Occupancy being issued</w:t>
      </w:r>
      <w:r w:rsidR="00D50824" w:rsidRPr="00AB6D58">
        <w:t>.  Many of these required features and other  features that are encouraged can be found in the VHFA  (Vermont Housing and Finance Agency)’s  “Universal Design Policy.”</w:t>
      </w:r>
      <w:r w:rsidR="006A69CF" w:rsidRPr="00AB6D58">
        <w:t xml:space="preserve"> </w:t>
      </w:r>
    </w:p>
    <w:p w14:paraId="602BEF09" w14:textId="0A548225" w:rsidR="003E243B" w:rsidRPr="00AB6D58" w:rsidRDefault="003E243B" w:rsidP="005558DC">
      <w:pPr>
        <w:pStyle w:val="NoSpacing"/>
      </w:pPr>
      <w:r w:rsidRPr="00AB6D58">
        <w:t xml:space="preserve"> </w:t>
      </w:r>
      <w:r w:rsidR="005558DC" w:rsidRPr="00AB6D58">
        <w:tab/>
        <w:t xml:space="preserve">f)   </w:t>
      </w:r>
      <w:r w:rsidR="004817F6" w:rsidRPr="00AB6D58">
        <w:t xml:space="preserve">Minimum total floor area in dwelling unit of 400 square feet  </w:t>
      </w:r>
    </w:p>
    <w:p w14:paraId="107E12B3" w14:textId="72FC8C35" w:rsidR="003E243B" w:rsidRPr="00AB6D58" w:rsidRDefault="005558DC" w:rsidP="005558DC">
      <w:pPr>
        <w:pStyle w:val="NoSpacing"/>
        <w:ind w:left="756"/>
      </w:pPr>
      <w:r w:rsidRPr="00AB6D58">
        <w:t>g)  B</w:t>
      </w:r>
      <w:r w:rsidR="003E243B" w:rsidRPr="00AB6D58">
        <w:t xml:space="preserve">athroom with </w:t>
      </w:r>
      <w:r w:rsidRPr="00AB6D58">
        <w:t>minimum</w:t>
      </w:r>
      <w:r w:rsidR="003E243B" w:rsidRPr="00AB6D58">
        <w:t xml:space="preserve"> turning radius</w:t>
      </w:r>
      <w:r w:rsidRPr="00AB6D58">
        <w:t xml:space="preserve"> of 60 inches or</w:t>
      </w:r>
      <w:r w:rsidR="005F2501" w:rsidRPr="00AB6D58">
        <w:t xml:space="preserve"> with a </w:t>
      </w:r>
      <w:r w:rsidRPr="00AB6D58">
        <w:t xml:space="preserve"> </w:t>
      </w:r>
      <w:r w:rsidR="005F2501" w:rsidRPr="00AB6D58">
        <w:t xml:space="preserve">T-shaped turnaround with a total area of at least 60 inches by 60 inches with adequate clearance  </w:t>
      </w:r>
      <w:r w:rsidR="004817F6" w:rsidRPr="00AB6D58">
        <w:t>for</w:t>
      </w:r>
      <w:r w:rsidR="005F2501" w:rsidRPr="00AB6D58">
        <w:t xml:space="preserve"> door and appliances </w:t>
      </w:r>
    </w:p>
    <w:p w14:paraId="26696D4D" w14:textId="642CA74A" w:rsidR="004817F6" w:rsidRPr="00AB6D58" w:rsidRDefault="005F2501" w:rsidP="004817F6">
      <w:pPr>
        <w:pStyle w:val="NoSpacing"/>
      </w:pPr>
      <w:r w:rsidRPr="00AB6D58">
        <w:tab/>
        <w:t xml:space="preserve"> h) </w:t>
      </w:r>
      <w:r w:rsidR="00AA3AE1" w:rsidRPr="00AB6D58">
        <w:t>ADA</w:t>
      </w:r>
      <w:r w:rsidR="000067DC" w:rsidRPr="00AB6D58">
        <w:t xml:space="preserve"> (Americans with Disabilities Act) </w:t>
      </w:r>
      <w:r w:rsidR="00AA3AE1" w:rsidRPr="00AB6D58">
        <w:t xml:space="preserve"> compliant walk-in bathtub</w:t>
      </w:r>
      <w:r w:rsidR="003E243B" w:rsidRPr="00AB6D58">
        <w:t xml:space="preserve"> </w:t>
      </w:r>
      <w:r w:rsidR="00BD4BA8">
        <w:t>or shower</w:t>
      </w:r>
    </w:p>
    <w:p w14:paraId="74A81535" w14:textId="27C68459" w:rsidR="003E243B" w:rsidRPr="00AB6D58" w:rsidRDefault="004817F6" w:rsidP="000067DC">
      <w:pPr>
        <w:pStyle w:val="NoSpacing"/>
        <w:ind w:left="720" w:firstLine="60"/>
      </w:pPr>
      <w:proofErr w:type="spellStart"/>
      <w:r w:rsidRPr="00AB6D58">
        <w:t>i</w:t>
      </w:r>
      <w:proofErr w:type="spellEnd"/>
      <w:r w:rsidRPr="00AB6D58">
        <w:t xml:space="preserve">) </w:t>
      </w:r>
      <w:r w:rsidR="003E243B" w:rsidRPr="00AB6D58">
        <w:t xml:space="preserve"> </w:t>
      </w:r>
      <w:r w:rsidR="0065491C" w:rsidRPr="00AB6D58">
        <w:t>ADA</w:t>
      </w:r>
      <w:r w:rsidR="000067DC" w:rsidRPr="00AB6D58">
        <w:t xml:space="preserve"> (Americans with Disabilities Act) </w:t>
      </w:r>
      <w:r w:rsidR="0065491C" w:rsidRPr="00AB6D58">
        <w:t xml:space="preserve"> compliant g</w:t>
      </w:r>
      <w:r w:rsidR="003E243B" w:rsidRPr="00AB6D58">
        <w:t>rab bars installed in shower</w:t>
      </w:r>
      <w:r w:rsidR="0065491C" w:rsidRPr="00AB6D58">
        <w:t>/</w:t>
      </w:r>
      <w:r w:rsidR="00AA3AE1" w:rsidRPr="00AB6D58">
        <w:t xml:space="preserve"> bathtub</w:t>
      </w:r>
      <w:r w:rsidR="003E243B" w:rsidRPr="00AB6D58">
        <w:t xml:space="preserve"> and near toile</w:t>
      </w:r>
      <w:r w:rsidR="00AA3AE1" w:rsidRPr="00AB6D58">
        <w:t xml:space="preserve">t </w:t>
      </w:r>
    </w:p>
    <w:p w14:paraId="394A2755" w14:textId="38073DEA" w:rsidR="00D50824" w:rsidRPr="00AB6D58" w:rsidRDefault="00D50824" w:rsidP="000067DC">
      <w:pPr>
        <w:pStyle w:val="NoSpacing"/>
        <w:ind w:left="720" w:firstLine="60"/>
      </w:pPr>
      <w:r w:rsidRPr="00AB6D58">
        <w:t>j)  adjustable, hand-held shower head</w:t>
      </w:r>
    </w:p>
    <w:p w14:paraId="135F873C" w14:textId="1AB6DDA4" w:rsidR="000C1BE3" w:rsidRPr="00AB6D58" w:rsidRDefault="00D50824" w:rsidP="00D50824">
      <w:pPr>
        <w:pStyle w:val="NoSpacing"/>
      </w:pPr>
      <w:r w:rsidRPr="00AB6D58">
        <w:t xml:space="preserve">              </w:t>
      </w:r>
      <w:r w:rsidR="004817F6" w:rsidRPr="00AB6D58">
        <w:t xml:space="preserve"> </w:t>
      </w:r>
      <w:r w:rsidRPr="00AB6D58">
        <w:t>k</w:t>
      </w:r>
      <w:r w:rsidR="004817F6" w:rsidRPr="00AB6D58">
        <w:t xml:space="preserve">)  </w:t>
      </w:r>
      <w:r w:rsidR="000C1BE3" w:rsidRPr="00AB6D58">
        <w:t>A minimum of one wired-in light fixture per room</w:t>
      </w:r>
    </w:p>
    <w:p w14:paraId="21DA1660" w14:textId="5D2E02C6" w:rsidR="004817F6" w:rsidRPr="00AB6D58" w:rsidRDefault="004817F6" w:rsidP="004817F6">
      <w:pPr>
        <w:pStyle w:val="NoSpacing"/>
        <w:ind w:left="720"/>
      </w:pPr>
      <w:r w:rsidRPr="00AB6D58">
        <w:t xml:space="preserve"> </w:t>
      </w:r>
      <w:r w:rsidR="00D50824" w:rsidRPr="00AB6D58">
        <w:t>l</w:t>
      </w:r>
      <w:r w:rsidRPr="00AB6D58">
        <w:t xml:space="preserve">)  </w:t>
      </w:r>
      <w:r w:rsidR="003E243B" w:rsidRPr="00AB6D58">
        <w:t xml:space="preserve">System of </w:t>
      </w:r>
      <w:r w:rsidRPr="00AB6D58">
        <w:t xml:space="preserve">adjustable </w:t>
      </w:r>
      <w:r w:rsidR="003E243B" w:rsidRPr="00AB6D58">
        <w:t xml:space="preserve">kitchen counters and cabinet bases </w:t>
      </w:r>
      <w:r w:rsidRPr="00AB6D58">
        <w:t>that allow height adjustment and provision of knee-space if needed</w:t>
      </w:r>
      <w:r w:rsidR="003E243B" w:rsidRPr="00AB6D58">
        <w:t xml:space="preserve"> </w:t>
      </w:r>
    </w:p>
    <w:p w14:paraId="7FA95C28" w14:textId="6BAE8F4D" w:rsidR="004817F6" w:rsidRPr="00AB6D58" w:rsidRDefault="00D50824" w:rsidP="004817F6">
      <w:pPr>
        <w:pStyle w:val="NoSpacing"/>
        <w:ind w:left="720" w:firstLine="48"/>
      </w:pPr>
      <w:r w:rsidRPr="00AB6D58">
        <w:t>m</w:t>
      </w:r>
      <w:r w:rsidR="004817F6" w:rsidRPr="00AB6D58">
        <w:t xml:space="preserve">)   </w:t>
      </w:r>
      <w:r w:rsidR="0065491C" w:rsidRPr="00AB6D58">
        <w:t>System of removeable under-sink cabinets in bathroom</w:t>
      </w:r>
      <w:r w:rsidR="006A69CF" w:rsidRPr="00AB6D58">
        <w:t>,  with</w:t>
      </w:r>
      <w:r w:rsidR="0065491C" w:rsidRPr="00AB6D58">
        <w:t xml:space="preserve"> u</w:t>
      </w:r>
      <w:r w:rsidR="004817F6" w:rsidRPr="00AB6D58">
        <w:t xml:space="preserve">nder-sink plumbing that </w:t>
      </w:r>
      <w:r w:rsidR="006A69CF" w:rsidRPr="00AB6D58">
        <w:t xml:space="preserve">can </w:t>
      </w:r>
      <w:r w:rsidR="004817F6" w:rsidRPr="00AB6D58">
        <w:t>provide knee</w:t>
      </w:r>
      <w:r w:rsidR="006A69CF" w:rsidRPr="00AB6D58">
        <w:t>-</w:t>
      </w:r>
      <w:r w:rsidR="004817F6" w:rsidRPr="00AB6D58">
        <w:t xml:space="preserve"> space </w:t>
      </w:r>
      <w:r w:rsidR="006A69CF" w:rsidRPr="00AB6D58">
        <w:t>if needed</w:t>
      </w:r>
    </w:p>
    <w:p w14:paraId="633ECBF1" w14:textId="13B9A581" w:rsidR="004817F6" w:rsidRPr="00AB6D58" w:rsidRDefault="004817F6" w:rsidP="004817F6">
      <w:pPr>
        <w:pStyle w:val="NoSpacing"/>
        <w:ind w:left="720" w:firstLine="48"/>
      </w:pPr>
      <w:r w:rsidRPr="00AB6D58">
        <w:t xml:space="preserve">m)  </w:t>
      </w:r>
      <w:r w:rsidR="000D7DC2" w:rsidRPr="00AB6D58">
        <w:t>L</w:t>
      </w:r>
      <w:r w:rsidRPr="00AB6D58">
        <w:t>oop or lever door handles</w:t>
      </w:r>
      <w:r w:rsidR="0065491C" w:rsidRPr="00AB6D58">
        <w:t xml:space="preserve"> throughout </w:t>
      </w:r>
    </w:p>
    <w:p w14:paraId="23FCFDF5" w14:textId="6C2EC44A" w:rsidR="00601BB9" w:rsidRPr="00AB6D58" w:rsidRDefault="00601BB9" w:rsidP="001716EF">
      <w:pPr>
        <w:pStyle w:val="NoSpacing"/>
      </w:pPr>
    </w:p>
    <w:p w14:paraId="48255CC2" w14:textId="77777777" w:rsidR="00601BB9" w:rsidRPr="00AB6D58" w:rsidRDefault="00601BB9" w:rsidP="004817F6">
      <w:pPr>
        <w:pStyle w:val="NoSpacing"/>
        <w:ind w:left="720" w:firstLine="48"/>
      </w:pPr>
    </w:p>
    <w:p w14:paraId="0EE24104" w14:textId="77777777" w:rsidR="00601BB9" w:rsidRPr="00BE2A32" w:rsidRDefault="00601BB9" w:rsidP="004817F6">
      <w:pPr>
        <w:pStyle w:val="NoSpacing"/>
        <w:ind w:left="720" w:firstLine="48"/>
        <w:rPr>
          <w:color w:val="00B050"/>
        </w:rPr>
      </w:pPr>
    </w:p>
    <w:p w14:paraId="5DF700CC" w14:textId="1F686CD9" w:rsidR="000204A8" w:rsidRDefault="005A744C" w:rsidP="000204A8">
      <w:pPr>
        <w:pStyle w:val="NoSpacing"/>
        <w:rPr>
          <w:b/>
          <w:bCs/>
        </w:rPr>
      </w:pPr>
      <w:r>
        <w:rPr>
          <w:b/>
          <w:bCs/>
        </w:rPr>
        <w:t>6.15.6  Requirements for true income-sensitive</w:t>
      </w:r>
      <w:r w:rsidR="007659D7">
        <w:rPr>
          <w:b/>
          <w:bCs/>
        </w:rPr>
        <w:t>,</w:t>
      </w:r>
      <w:r>
        <w:rPr>
          <w:b/>
          <w:bCs/>
        </w:rPr>
        <w:t xml:space="preserve"> affordable </w:t>
      </w:r>
      <w:r w:rsidR="0022161E">
        <w:rPr>
          <w:b/>
          <w:bCs/>
        </w:rPr>
        <w:t>dwelling</w:t>
      </w:r>
      <w:r>
        <w:rPr>
          <w:b/>
          <w:bCs/>
        </w:rPr>
        <w:t xml:space="preserve"> units</w:t>
      </w:r>
    </w:p>
    <w:p w14:paraId="0D5ADFDE" w14:textId="77777777" w:rsidR="000204A8" w:rsidRDefault="000204A8" w:rsidP="000204A8">
      <w:pPr>
        <w:pStyle w:val="NoSpacing"/>
        <w:rPr>
          <w:b/>
          <w:bCs/>
        </w:rPr>
      </w:pPr>
    </w:p>
    <w:p w14:paraId="078DEA80" w14:textId="04A05779" w:rsidR="00B0601F" w:rsidRPr="00240664" w:rsidRDefault="00B0601F" w:rsidP="006534B1">
      <w:r>
        <w:rPr>
          <w:b/>
          <w:bCs/>
        </w:rPr>
        <w:t xml:space="preserve">6.15.6.1  </w:t>
      </w:r>
      <w:r>
        <w:t>A “true affordable</w:t>
      </w:r>
      <w:r w:rsidR="0079560A">
        <w:t xml:space="preserve"> housing</w:t>
      </w:r>
      <w:r>
        <w:t xml:space="preserve"> unit</w:t>
      </w:r>
      <w:r w:rsidR="0079560A">
        <w:t>”</w:t>
      </w:r>
      <w:r>
        <w:t xml:space="preserve"> is one that meets the definition of “affordable housing” as defined in 24 VSA  4303(1) </w:t>
      </w:r>
      <w:r w:rsidR="00CB3222">
        <w:t xml:space="preserve">and </w:t>
      </w:r>
      <w:r w:rsidR="001F5C9B">
        <w:t xml:space="preserve">summarized </w:t>
      </w:r>
      <w:r w:rsidR="00CB3222">
        <w:t>below</w:t>
      </w:r>
      <w:r w:rsidR="001F5C9B">
        <w:t>.</w:t>
      </w:r>
      <w:r>
        <w:t xml:space="preserve"> </w:t>
      </w:r>
    </w:p>
    <w:p w14:paraId="6AAB240A" w14:textId="44FCDEF3" w:rsidR="00CB3222" w:rsidRDefault="00B0601F" w:rsidP="00CB3222">
      <w:pPr>
        <w:pStyle w:val="NoSpacing"/>
      </w:pPr>
      <w:r>
        <w:rPr>
          <w:b/>
          <w:bCs/>
        </w:rPr>
        <w:t xml:space="preserve"> 6.15.6.2  </w:t>
      </w:r>
      <w:r w:rsidR="00CB3222">
        <w:rPr>
          <w:b/>
          <w:bCs/>
        </w:rPr>
        <w:t xml:space="preserve">  </w:t>
      </w:r>
      <w:r w:rsidR="00CB3222" w:rsidRPr="00E01C4C">
        <w:t xml:space="preserve"> “Affordable housing</w:t>
      </w:r>
      <w:r w:rsidR="00AB6D58">
        <w:t>,</w:t>
      </w:r>
      <w:r w:rsidR="00CB3222" w:rsidRPr="00E01C4C">
        <w:t xml:space="preserve">” </w:t>
      </w:r>
      <w:r w:rsidR="00AB6D58">
        <w:t xml:space="preserve"> for this section,  </w:t>
      </w:r>
      <w:r w:rsidR="00CB3222" w:rsidRPr="00E01C4C">
        <w:t xml:space="preserve">means </w:t>
      </w:r>
      <w:r w:rsidR="00CB3222">
        <w:t xml:space="preserve">housing,  as specified on the most current  Vermont Housing Finance Agency (VHFA) chart entitled “Maximum rent and purchase price affordability thresholds by income and household size” for Chittenden County, </w:t>
      </w:r>
      <w:r w:rsidR="00A90552">
        <w:t xml:space="preserve">that </w:t>
      </w:r>
      <w:r w:rsidR="00CB3222">
        <w:t xml:space="preserve">meets </w:t>
      </w:r>
      <w:r w:rsidR="001F5C9B">
        <w:t>one</w:t>
      </w:r>
      <w:r w:rsidR="00CB3222">
        <w:t xml:space="preserve"> of the following standards:</w:t>
      </w:r>
    </w:p>
    <w:p w14:paraId="429273FE" w14:textId="3172A304" w:rsidR="00CB3222" w:rsidRDefault="00CB3222" w:rsidP="00CB3222">
      <w:pPr>
        <w:pStyle w:val="NoSpacing"/>
        <w:ind w:firstLine="720"/>
      </w:pPr>
      <w:r w:rsidRPr="00E01C4C">
        <w:t>(</w:t>
      </w:r>
      <w:r>
        <w:t>1)</w:t>
      </w:r>
      <w:r w:rsidRPr="00E01C4C">
        <w:t xml:space="preserve"> Owner-occupied housing for which the total annual cost of ownership, including </w:t>
      </w:r>
      <w:r w:rsidR="00A90552">
        <w:t xml:space="preserve">mortgage </w:t>
      </w:r>
      <w:r w:rsidRPr="00E01C4C">
        <w:t xml:space="preserve">principal, interest, taxes, insurance, and condominium association fees, does not exceed 30 percent of the gross annual income of a household at 120 percent </w:t>
      </w:r>
      <w:r>
        <w:t>AMI</w:t>
      </w:r>
      <w:r w:rsidR="001F5C9B">
        <w:t xml:space="preserve"> (average median income)</w:t>
      </w:r>
      <w:r>
        <w:t>; or</w:t>
      </w:r>
    </w:p>
    <w:p w14:paraId="0778A162" w14:textId="39CC38F6" w:rsidR="00CB3222" w:rsidRPr="00E01C4C" w:rsidRDefault="00CB3222" w:rsidP="00CB3222">
      <w:pPr>
        <w:pStyle w:val="NoSpacing"/>
        <w:ind w:firstLine="720"/>
      </w:pPr>
      <w:r>
        <w:lastRenderedPageBreak/>
        <w:t xml:space="preserve">(2) </w:t>
      </w:r>
      <w:r w:rsidRPr="00E01C4C">
        <w:t xml:space="preserve"> Rental housing for which the total annual cost of renting, including rent, utilities, and</w:t>
      </w:r>
      <w:r w:rsidR="00C85F1A">
        <w:t>/or</w:t>
      </w:r>
      <w:r w:rsidRPr="00E01C4C">
        <w:t xml:space="preserve"> condominium association fees, does not exceed 30 percent of the gross annual income of a household at 80 percent</w:t>
      </w:r>
      <w:r>
        <w:t xml:space="preserve"> AMI.</w:t>
      </w:r>
    </w:p>
    <w:p w14:paraId="7BD05C39" w14:textId="39D3D25E" w:rsidR="00CB3222" w:rsidRDefault="00CB3222" w:rsidP="00B0601F">
      <w:pPr>
        <w:rPr>
          <w:b/>
          <w:bCs/>
        </w:rPr>
      </w:pPr>
    </w:p>
    <w:p w14:paraId="512E8F65" w14:textId="77777777" w:rsidR="00CB3222" w:rsidRDefault="00CB3222" w:rsidP="00B0601F">
      <w:pPr>
        <w:rPr>
          <w:b/>
          <w:bCs/>
        </w:rPr>
      </w:pPr>
    </w:p>
    <w:p w14:paraId="1628C3E6" w14:textId="77777777" w:rsidR="006A77CE" w:rsidRDefault="00CB3222" w:rsidP="006A77CE">
      <w:r>
        <w:rPr>
          <w:b/>
          <w:bCs/>
        </w:rPr>
        <w:t xml:space="preserve">6.15.6.3  </w:t>
      </w:r>
      <w:r w:rsidR="00B0601F">
        <w:t>Th</w:t>
      </w:r>
      <w:r w:rsidR="009E67B6">
        <w:t>e following</w:t>
      </w:r>
      <w:r w:rsidR="00B0601F">
        <w:t xml:space="preserve"> criteria </w:t>
      </w:r>
      <w:r>
        <w:t>shall</w:t>
      </w:r>
      <w:r w:rsidR="00B0601F">
        <w:t xml:space="preserve"> be </w:t>
      </w:r>
      <w:r w:rsidR="00DC281C">
        <w:t>met</w:t>
      </w:r>
      <w:r w:rsidR="00B0601F">
        <w:t xml:space="preserve"> for </w:t>
      </w:r>
      <w:r w:rsidR="00184F51">
        <w:t xml:space="preserve">both </w:t>
      </w:r>
      <w:r w:rsidR="00B0601F">
        <w:t xml:space="preserve">rental </w:t>
      </w:r>
      <w:r w:rsidR="0079560A">
        <w:t>and</w:t>
      </w:r>
      <w:r w:rsidR="00B0601F">
        <w:t xml:space="preserve"> saleable </w:t>
      </w:r>
      <w:r w:rsidR="00184F51">
        <w:t xml:space="preserve">affordable </w:t>
      </w:r>
      <w:r w:rsidR="00AF0F78">
        <w:t xml:space="preserve">housing </w:t>
      </w:r>
      <w:r w:rsidR="00B0601F">
        <w:t xml:space="preserve">units </w:t>
      </w:r>
      <w:r w:rsidR="009D7D9B">
        <w:t>:</w:t>
      </w:r>
    </w:p>
    <w:p w14:paraId="3D6F7599" w14:textId="77777777" w:rsidR="006A77CE" w:rsidRDefault="00B0601F" w:rsidP="006A77CE">
      <w:pPr>
        <w:pStyle w:val="NoSpacing"/>
        <w:ind w:left="720"/>
      </w:pPr>
      <w:r w:rsidRPr="00B0601F">
        <w:rPr>
          <w:b/>
          <w:bCs/>
        </w:rPr>
        <w:t>a)</w:t>
      </w:r>
      <w:r>
        <w:t xml:space="preserve"> All costs associated with the rental or sale must meet </w:t>
      </w:r>
      <w:r w:rsidR="009D7D9B">
        <w:t>the average median income (</w:t>
      </w:r>
      <w:r>
        <w:t>AMI</w:t>
      </w:r>
      <w:r w:rsidR="009D7D9B">
        <w:t xml:space="preserve">) </w:t>
      </w:r>
      <w:r>
        <w:t xml:space="preserve"> standards for the size of the unit</w:t>
      </w:r>
      <w:r w:rsidR="00C2774A">
        <w:t xml:space="preserve"> and % </w:t>
      </w:r>
      <w:r w:rsidR="00A90552">
        <w:t xml:space="preserve">(80 or 120) </w:t>
      </w:r>
      <w:r w:rsidR="00C2774A">
        <w:t xml:space="preserve">of income </w:t>
      </w:r>
      <w:r w:rsidR="00DC281C">
        <w:t xml:space="preserve">on the </w:t>
      </w:r>
      <w:r w:rsidR="00C85F1A">
        <w:t xml:space="preserve">current </w:t>
      </w:r>
      <w:r w:rsidR="00DC281C">
        <w:t xml:space="preserve">VHFA chart; </w:t>
      </w:r>
      <w:r>
        <w:t xml:space="preserve"> and</w:t>
      </w:r>
    </w:p>
    <w:p w14:paraId="677EB2C7" w14:textId="1C066C25" w:rsidR="00B0601F" w:rsidRPr="006A77CE" w:rsidRDefault="00B0601F" w:rsidP="006A77CE">
      <w:pPr>
        <w:pStyle w:val="NoSpacing"/>
        <w:ind w:left="720"/>
      </w:pPr>
      <w:r w:rsidRPr="00B0601F">
        <w:rPr>
          <w:b/>
          <w:bCs/>
        </w:rPr>
        <w:t>b</w:t>
      </w:r>
      <w:r>
        <w:t xml:space="preserve">) </w:t>
      </w:r>
      <w:r w:rsidR="009E67B6">
        <w:t>the income of the renter or purchaser</w:t>
      </w:r>
      <w:r>
        <w:t xml:space="preserve">  must be ascertained at the time of </w:t>
      </w:r>
      <w:r w:rsidR="009E67B6">
        <w:t>initial</w:t>
      </w:r>
      <w:r>
        <w:t xml:space="preserve"> rental or sale</w:t>
      </w:r>
      <w:r w:rsidR="009D7D9B">
        <w:t>, and</w:t>
      </w:r>
      <w:r w:rsidR="009E67B6">
        <w:t xml:space="preserve"> at the time of rental of each new tenant</w:t>
      </w:r>
      <w:r w:rsidR="00DC281C">
        <w:t>; and</w:t>
      </w:r>
      <w:r>
        <w:t xml:space="preserve"> </w:t>
      </w:r>
    </w:p>
    <w:p w14:paraId="40EA61BE" w14:textId="35C1DBF2" w:rsidR="00B0601F" w:rsidRDefault="009D7D9B" w:rsidP="009D7D9B">
      <w:pPr>
        <w:pStyle w:val="NoSpacing"/>
        <w:ind w:firstLine="720"/>
      </w:pPr>
      <w:r>
        <w:rPr>
          <w:b/>
          <w:bCs/>
        </w:rPr>
        <w:t>c)</w:t>
      </w:r>
      <w:r w:rsidR="00B0601F">
        <w:t xml:space="preserve"> </w:t>
      </w:r>
      <w:r>
        <w:t>for rental units, there shall be</w:t>
      </w:r>
      <w:r w:rsidR="00B0601F">
        <w:t xml:space="preserve"> a maximum rent increase of 3% per year</w:t>
      </w:r>
      <w:r w:rsidR="00DC281C">
        <w:t xml:space="preserve">; </w:t>
      </w:r>
      <w:r>
        <w:t xml:space="preserve"> and</w:t>
      </w:r>
    </w:p>
    <w:p w14:paraId="5038879F" w14:textId="65D2E819" w:rsidR="00C85F1A" w:rsidRDefault="009D7D9B" w:rsidP="006A77CE">
      <w:pPr>
        <w:pStyle w:val="NoSpacing"/>
        <w:ind w:firstLine="720"/>
      </w:pPr>
      <w:r>
        <w:rPr>
          <w:b/>
          <w:bCs/>
        </w:rPr>
        <w:t xml:space="preserve">d) </w:t>
      </w:r>
      <w:r w:rsidRPr="009E67B6">
        <w:t xml:space="preserve">the requirements for affordability </w:t>
      </w:r>
      <w:r w:rsidR="009E67B6">
        <w:t>shall</w:t>
      </w:r>
      <w:r w:rsidRPr="009E67B6">
        <w:t xml:space="preserve"> be maintained </w:t>
      </w:r>
      <w:r w:rsidR="00C85F1A">
        <w:t>for a minimum of 15 years</w:t>
      </w:r>
    </w:p>
    <w:p w14:paraId="2AD61E89" w14:textId="7E14FB41" w:rsidR="00CB3222" w:rsidRPr="007F14B6" w:rsidRDefault="00C85F1A" w:rsidP="00CB3222">
      <w:pPr>
        <w:pStyle w:val="NoSpacing"/>
      </w:pPr>
      <w:r>
        <w:t xml:space="preserve">                </w:t>
      </w:r>
      <w:r w:rsidR="007F14B6" w:rsidRPr="007F14B6">
        <w:t>for both rental and saleable dwelling units</w:t>
      </w:r>
      <w:r w:rsidR="007F14B6">
        <w:t xml:space="preserve"> developed under this program</w:t>
      </w:r>
    </w:p>
    <w:p w14:paraId="33D6C9EA" w14:textId="193ABE6D" w:rsidR="009D7D9B" w:rsidRDefault="00B0601F" w:rsidP="00B0601F">
      <w:pPr>
        <w:pStyle w:val="NoSpacing"/>
      </w:pPr>
      <w:r>
        <w:t xml:space="preserve"> </w:t>
      </w:r>
    </w:p>
    <w:p w14:paraId="7EF10FB7" w14:textId="2B491E1D" w:rsidR="009E67B6" w:rsidRDefault="009D7D9B" w:rsidP="00B0601F">
      <w:pPr>
        <w:pStyle w:val="NoSpacing"/>
      </w:pPr>
      <w:r>
        <w:rPr>
          <w:b/>
          <w:bCs/>
        </w:rPr>
        <w:t xml:space="preserve">6.15.6.4  </w:t>
      </w:r>
      <w:r w:rsidR="00B0601F">
        <w:t xml:space="preserve"> </w:t>
      </w:r>
      <w:r w:rsidR="009E67B6" w:rsidRPr="000204A8">
        <w:t xml:space="preserve">The units </w:t>
      </w:r>
      <w:r w:rsidR="009E67B6">
        <w:t xml:space="preserve">and </w:t>
      </w:r>
      <w:r w:rsidR="007E3744">
        <w:t>all</w:t>
      </w:r>
      <w:r w:rsidR="009E67B6">
        <w:t xml:space="preserve"> </w:t>
      </w:r>
      <w:r w:rsidR="007E3744">
        <w:t>verifications</w:t>
      </w:r>
      <w:r w:rsidR="009E67B6">
        <w:t xml:space="preserve"> </w:t>
      </w:r>
      <w:r w:rsidR="009E67B6" w:rsidRPr="000204A8">
        <w:t xml:space="preserve">will be </w:t>
      </w:r>
      <w:r w:rsidR="007E3744">
        <w:t>examined</w:t>
      </w:r>
      <w:r w:rsidR="009E67B6" w:rsidRPr="000204A8">
        <w:t xml:space="preserve"> prior to the CO being issued</w:t>
      </w:r>
      <w:r w:rsidR="007E3744">
        <w:t>.</w:t>
      </w:r>
      <w:r w:rsidR="00B0601F">
        <w:t xml:space="preserve"> </w:t>
      </w:r>
    </w:p>
    <w:p w14:paraId="49C675E5" w14:textId="77777777" w:rsidR="009E67B6" w:rsidRDefault="009E67B6" w:rsidP="00B0601F">
      <w:pPr>
        <w:pStyle w:val="NoSpacing"/>
      </w:pPr>
    </w:p>
    <w:p w14:paraId="6E2F5217" w14:textId="4377BCAB" w:rsidR="00B0601F" w:rsidRPr="0022161E" w:rsidRDefault="009E67B6" w:rsidP="00B0601F">
      <w:pPr>
        <w:pStyle w:val="NoSpacing"/>
      </w:pPr>
      <w:r>
        <w:rPr>
          <w:b/>
          <w:bCs/>
        </w:rPr>
        <w:t>6.15.</w:t>
      </w:r>
      <w:r w:rsidR="008B7BFA">
        <w:rPr>
          <w:b/>
          <w:bCs/>
        </w:rPr>
        <w:t>6</w:t>
      </w:r>
      <w:r>
        <w:rPr>
          <w:b/>
          <w:bCs/>
        </w:rPr>
        <w:t>.5</w:t>
      </w:r>
      <w:r w:rsidR="00B0601F" w:rsidRPr="000204A8">
        <w:t>.</w:t>
      </w:r>
      <w:r w:rsidR="00B0601F">
        <w:t xml:space="preserve"> </w:t>
      </w:r>
      <w:r>
        <w:t xml:space="preserve">The number of qualifying affordable units may not equal or exceed 20% of the total project units under this program.  If </w:t>
      </w:r>
      <w:r w:rsidR="006C10BA">
        <w:t>20% or more of the project’s units are affordable</w:t>
      </w:r>
      <w:r w:rsidR="006534B1">
        <w:t xml:space="preserve">, the applicant </w:t>
      </w:r>
      <w:r w:rsidR="00BD63CE">
        <w:t>may be</w:t>
      </w:r>
      <w:r w:rsidR="006534B1">
        <w:t xml:space="preserve"> eligible for </w:t>
      </w:r>
      <w:r w:rsidR="00B0601F">
        <w:t>Section 6.16</w:t>
      </w:r>
      <w:r w:rsidR="00AF0F78">
        <w:t xml:space="preserve"> of these regulations</w:t>
      </w:r>
      <w:r w:rsidR="00B0601F">
        <w:t>, statutorily-designated  “</w:t>
      </w:r>
      <w:r w:rsidR="0022161E">
        <w:rPr>
          <w:b/>
          <w:bCs/>
        </w:rPr>
        <w:t>A</w:t>
      </w:r>
      <w:r w:rsidR="00B0601F">
        <w:rPr>
          <w:b/>
          <w:bCs/>
        </w:rPr>
        <w:t xml:space="preserve">ffordable housing </w:t>
      </w:r>
      <w:r w:rsidR="0022161E">
        <w:rPr>
          <w:b/>
          <w:bCs/>
        </w:rPr>
        <w:t>development</w:t>
      </w:r>
      <w:r w:rsidR="006534B1">
        <w:rPr>
          <w:b/>
          <w:bCs/>
        </w:rPr>
        <w:t>,</w:t>
      </w:r>
      <w:r w:rsidR="0022161E">
        <w:rPr>
          <w:b/>
          <w:bCs/>
        </w:rPr>
        <w:t>”</w:t>
      </w:r>
      <w:r w:rsidR="006534B1">
        <w:rPr>
          <w:b/>
          <w:bCs/>
        </w:rPr>
        <w:t xml:space="preserve"> </w:t>
      </w:r>
      <w:r w:rsidR="006534B1" w:rsidRPr="006534B1">
        <w:t>which</w:t>
      </w:r>
      <w:r w:rsidR="0022161E">
        <w:rPr>
          <w:b/>
          <w:bCs/>
        </w:rPr>
        <w:t xml:space="preserve"> </w:t>
      </w:r>
      <w:r w:rsidR="0022161E" w:rsidRPr="0022161E">
        <w:t>provides an alternative pathway</w:t>
      </w:r>
      <w:r w:rsidR="0022161E">
        <w:t xml:space="preserve"> for exceeding base residential density.  Any project qualifying under Section 6.16 will not be eligible for density bonus units under Section 6.15</w:t>
      </w:r>
      <w:r w:rsidR="00BD63CE">
        <w:t>, but will be eligible for the density bonus allowances described in Section 6.16.</w:t>
      </w:r>
    </w:p>
    <w:p w14:paraId="244E62C1" w14:textId="77777777" w:rsidR="00B0601F" w:rsidRDefault="00B0601F" w:rsidP="000204A8">
      <w:pPr>
        <w:pStyle w:val="NoSpacing"/>
        <w:rPr>
          <w:b/>
          <w:bCs/>
        </w:rPr>
      </w:pPr>
    </w:p>
    <w:p w14:paraId="47D6D093" w14:textId="77777777" w:rsidR="0022161E" w:rsidRDefault="0022161E" w:rsidP="000204A8">
      <w:pPr>
        <w:pStyle w:val="NoSpacing"/>
        <w:rPr>
          <w:b/>
          <w:bCs/>
        </w:rPr>
      </w:pPr>
    </w:p>
    <w:p w14:paraId="344289C8" w14:textId="2883A183" w:rsidR="009876DD" w:rsidRPr="009876DD" w:rsidRDefault="009876DD" w:rsidP="00C325E8">
      <w:pPr>
        <w:pStyle w:val="NoSpacing"/>
        <w:rPr>
          <w:b/>
          <w:bCs/>
        </w:rPr>
      </w:pPr>
    </w:p>
    <w:p w14:paraId="28DEDAF4" w14:textId="33E43F26" w:rsidR="0071029D" w:rsidRPr="00FD4E2F" w:rsidRDefault="00C325E8" w:rsidP="001937F8">
      <w:pPr>
        <w:pStyle w:val="NoSpacing"/>
        <w:rPr>
          <w:b/>
          <w:bCs/>
        </w:rPr>
      </w:pPr>
      <w:r>
        <w:t xml:space="preserve"> </w:t>
      </w:r>
      <w:r w:rsidR="0038593C">
        <w:rPr>
          <w:b/>
          <w:bCs/>
        </w:rPr>
        <w:t>6.15.</w:t>
      </w:r>
      <w:r w:rsidR="00FD4E2F">
        <w:rPr>
          <w:b/>
          <w:bCs/>
        </w:rPr>
        <w:t>7</w:t>
      </w:r>
      <w:r w:rsidR="0038593C">
        <w:rPr>
          <w:b/>
          <w:bCs/>
        </w:rPr>
        <w:t xml:space="preserve">   </w:t>
      </w:r>
      <w:r w:rsidR="00B21C2D">
        <w:rPr>
          <w:b/>
          <w:bCs/>
        </w:rPr>
        <w:t>Application</w:t>
      </w:r>
      <w:r w:rsidR="00C9173C">
        <w:rPr>
          <w:b/>
          <w:bCs/>
        </w:rPr>
        <w:t>,</w:t>
      </w:r>
      <w:r w:rsidR="00B21C2D">
        <w:rPr>
          <w:b/>
          <w:bCs/>
        </w:rPr>
        <w:t xml:space="preserve"> </w:t>
      </w:r>
      <w:r w:rsidR="00981DA9">
        <w:rPr>
          <w:b/>
          <w:bCs/>
        </w:rPr>
        <w:t xml:space="preserve">DRB Review and </w:t>
      </w:r>
      <w:r w:rsidR="00B21C2D">
        <w:rPr>
          <w:b/>
          <w:bCs/>
        </w:rPr>
        <w:t>Verification</w:t>
      </w:r>
      <w:r w:rsidR="00981DA9">
        <w:rPr>
          <w:b/>
          <w:bCs/>
        </w:rPr>
        <w:t xml:space="preserve">, </w:t>
      </w:r>
      <w:r w:rsidR="00C9173C" w:rsidRPr="0022161E">
        <w:rPr>
          <w:b/>
          <w:bCs/>
        </w:rPr>
        <w:t xml:space="preserve"> Monitoring Requirements </w:t>
      </w:r>
      <w:r w:rsidR="00285970" w:rsidRPr="0022161E">
        <w:rPr>
          <w:b/>
          <w:bCs/>
        </w:rPr>
        <w:t xml:space="preserve">   </w:t>
      </w:r>
      <w:r w:rsidR="00B21C2D" w:rsidRPr="0022161E">
        <w:rPr>
          <w:b/>
          <w:bCs/>
        </w:rPr>
        <w:t xml:space="preserve"> </w:t>
      </w:r>
    </w:p>
    <w:p w14:paraId="120065DC" w14:textId="77777777" w:rsidR="008B7BFA" w:rsidRDefault="008B7BFA" w:rsidP="001937F8">
      <w:pPr>
        <w:pStyle w:val="NoSpacing"/>
        <w:rPr>
          <w:color w:val="C00000"/>
        </w:rPr>
      </w:pPr>
    </w:p>
    <w:p w14:paraId="7D21B04F" w14:textId="7139F8C3" w:rsidR="00C141F1" w:rsidRDefault="008B7BFA" w:rsidP="001937F8">
      <w:pPr>
        <w:pStyle w:val="NoSpacing"/>
      </w:pPr>
      <w:r w:rsidRPr="008B7BFA">
        <w:rPr>
          <w:b/>
          <w:bCs/>
        </w:rPr>
        <w:t>6.15.</w:t>
      </w:r>
      <w:r w:rsidR="00FD4E2F">
        <w:rPr>
          <w:b/>
          <w:bCs/>
        </w:rPr>
        <w:t>7</w:t>
      </w:r>
      <w:r w:rsidRPr="008B7BFA">
        <w:rPr>
          <w:b/>
          <w:bCs/>
        </w:rPr>
        <w:t>.1</w:t>
      </w:r>
      <w:r>
        <w:rPr>
          <w:b/>
          <w:bCs/>
        </w:rPr>
        <w:t xml:space="preserve"> </w:t>
      </w:r>
      <w:r w:rsidR="00C141F1" w:rsidRPr="00C141F1">
        <w:t>The Richmond Planning and Zoning Department</w:t>
      </w:r>
      <w:r w:rsidR="00C141F1">
        <w:t xml:space="preserve"> shall be responsible for all aspects of administering the Residential </w:t>
      </w:r>
      <w:r w:rsidR="00497F2D">
        <w:t>D</w:t>
      </w:r>
      <w:r w:rsidR="00C141F1">
        <w:t xml:space="preserve">ensity </w:t>
      </w:r>
      <w:r w:rsidR="00497F2D">
        <w:t>B</w:t>
      </w:r>
      <w:r w:rsidR="00C141F1">
        <w:t xml:space="preserve">onus </w:t>
      </w:r>
      <w:r w:rsidR="00497F2D">
        <w:t>P</w:t>
      </w:r>
      <w:r w:rsidR="00C141F1">
        <w:t>rogram</w:t>
      </w:r>
      <w:r w:rsidR="008042CA">
        <w:t xml:space="preserve"> as well as for promulgating such further rules</w:t>
      </w:r>
      <w:r w:rsidR="00731A26">
        <w:t>,</w:t>
      </w:r>
      <w:r w:rsidR="008042CA">
        <w:t xml:space="preserve"> regulations </w:t>
      </w:r>
      <w:r w:rsidR="00731A26">
        <w:t xml:space="preserve">and forms </w:t>
      </w:r>
      <w:r w:rsidR="00260632">
        <w:t>as</w:t>
      </w:r>
      <w:r w:rsidR="008042CA">
        <w:t xml:space="preserve"> may be necessary to implement this program.  The Planning and Zoning Department will determine </w:t>
      </w:r>
      <w:r w:rsidR="00497F2D">
        <w:t>initial</w:t>
      </w:r>
      <w:r w:rsidR="008042CA">
        <w:t xml:space="preserve"> eligibility,  rental and sale procedures</w:t>
      </w:r>
      <w:r w:rsidR="00497F2D">
        <w:t xml:space="preserve">, and will monitor </w:t>
      </w:r>
      <w:r w:rsidR="008042CA">
        <w:t xml:space="preserve"> </w:t>
      </w:r>
      <w:r w:rsidR="00497F2D">
        <w:t>for continued adherence to the standards for the agreed-upon life of the program.</w:t>
      </w:r>
    </w:p>
    <w:p w14:paraId="60426FD2" w14:textId="77777777" w:rsidR="008042CA" w:rsidRDefault="008042CA" w:rsidP="001937F8">
      <w:pPr>
        <w:pStyle w:val="NoSpacing"/>
        <w:rPr>
          <w:b/>
          <w:bCs/>
        </w:rPr>
      </w:pPr>
    </w:p>
    <w:p w14:paraId="0B17D9AB" w14:textId="73F638AD" w:rsidR="008B7BFA" w:rsidRPr="00C141F1" w:rsidRDefault="00C141F1" w:rsidP="001937F8">
      <w:pPr>
        <w:pStyle w:val="NoSpacing"/>
        <w:rPr>
          <w:b/>
          <w:bCs/>
        </w:rPr>
      </w:pPr>
      <w:r>
        <w:rPr>
          <w:b/>
          <w:bCs/>
        </w:rPr>
        <w:t>6.15.</w:t>
      </w:r>
      <w:r w:rsidR="00FD4E2F">
        <w:rPr>
          <w:b/>
          <w:bCs/>
        </w:rPr>
        <w:t>7</w:t>
      </w:r>
      <w:r>
        <w:rPr>
          <w:b/>
          <w:bCs/>
        </w:rPr>
        <w:t xml:space="preserve">.2   </w:t>
      </w:r>
      <w:r w:rsidR="008B7BFA" w:rsidRPr="004A4706">
        <w:rPr>
          <w:b/>
          <w:bCs/>
        </w:rPr>
        <w:t xml:space="preserve">Application </w:t>
      </w:r>
      <w:r w:rsidR="008B7BFA">
        <w:t>requirements:</w:t>
      </w:r>
    </w:p>
    <w:p w14:paraId="48928C56" w14:textId="15BF76F6" w:rsidR="008B7BFA" w:rsidRDefault="008B7BFA" w:rsidP="001937F8">
      <w:pPr>
        <w:pStyle w:val="NoSpacing"/>
      </w:pPr>
      <w:r>
        <w:t xml:space="preserve">In addition to other applicable submission requirements </w:t>
      </w:r>
      <w:r w:rsidR="00EC2202">
        <w:t xml:space="preserve">to proposed projects as specified in </w:t>
      </w:r>
      <w:r w:rsidR="00637341">
        <w:t xml:space="preserve">Section 5.12 and any other applicable sections of </w:t>
      </w:r>
      <w:r w:rsidR="00EC2202">
        <w:t>the Richmond Zoning Regulations, applications under Section 6.15 shall include the following:</w:t>
      </w:r>
    </w:p>
    <w:p w14:paraId="54BD927A" w14:textId="6D484125" w:rsidR="00EC2202" w:rsidRDefault="00EC2202" w:rsidP="00EC2202">
      <w:pPr>
        <w:pStyle w:val="NoSpacing"/>
        <w:numPr>
          <w:ilvl w:val="0"/>
          <w:numId w:val="19"/>
        </w:numPr>
      </w:pPr>
      <w:r>
        <w:lastRenderedPageBreak/>
        <w:t xml:space="preserve">A housing density bonus application, including identification of which density bonus </w:t>
      </w:r>
      <w:r w:rsidR="00675A18">
        <w:t xml:space="preserve">category or categories are being requested; </w:t>
      </w:r>
      <w:r>
        <w:t xml:space="preserve">  how many of the qualifying units and/or parking spaces  are </w:t>
      </w:r>
      <w:r w:rsidR="00675A18">
        <w:t xml:space="preserve">proposed, </w:t>
      </w:r>
      <w:r>
        <w:t xml:space="preserve"> and </w:t>
      </w:r>
      <w:r w:rsidR="00307E82">
        <w:t xml:space="preserve">the </w:t>
      </w:r>
      <w:r>
        <w:t xml:space="preserve">number of  </w:t>
      </w:r>
      <w:r w:rsidR="00307E82">
        <w:t xml:space="preserve">bonus </w:t>
      </w:r>
      <w:r>
        <w:t xml:space="preserve">market-rate units  </w:t>
      </w:r>
      <w:r w:rsidR="00307E82">
        <w:t xml:space="preserve">that are </w:t>
      </w:r>
      <w:r>
        <w:t>expected</w:t>
      </w:r>
      <w:r w:rsidR="00307E82">
        <w:t xml:space="preserve"> from the program;</w:t>
      </w:r>
    </w:p>
    <w:p w14:paraId="67929E74" w14:textId="07F81FE2" w:rsidR="00EC2202" w:rsidRDefault="00EC2202" w:rsidP="00EC2202">
      <w:pPr>
        <w:pStyle w:val="NoSpacing"/>
        <w:numPr>
          <w:ilvl w:val="0"/>
          <w:numId w:val="19"/>
        </w:numPr>
      </w:pPr>
      <w:r>
        <w:t>A site plan which identifies the  location, type and size of the accessible/adaptable or affordable units proposed, and the location of public parking spaces proposed; and the location of the bonus market-rate units</w:t>
      </w:r>
      <w:r w:rsidR="00901305">
        <w:t xml:space="preserve"> expected</w:t>
      </w:r>
      <w:r w:rsidR="00307E82">
        <w:t>;</w:t>
      </w:r>
    </w:p>
    <w:p w14:paraId="4C848519" w14:textId="54EBC2E5" w:rsidR="00901305" w:rsidRDefault="000250C0" w:rsidP="00EC2202">
      <w:pPr>
        <w:pStyle w:val="NoSpacing"/>
        <w:numPr>
          <w:ilvl w:val="0"/>
          <w:numId w:val="19"/>
        </w:numPr>
      </w:pPr>
      <w:r>
        <w:t>Data necessary to determine affordability if affordable units are requested, including floor area, number of bedrooms and total estimated housing costs and any other information deemed necessary</w:t>
      </w:r>
      <w:r w:rsidR="00307E82">
        <w:t>;</w:t>
      </w:r>
    </w:p>
    <w:p w14:paraId="195B2CA5" w14:textId="73A0A1F5" w:rsidR="000250C0" w:rsidRDefault="008503EC" w:rsidP="00EC2202">
      <w:pPr>
        <w:pStyle w:val="NoSpacing"/>
        <w:numPr>
          <w:ilvl w:val="0"/>
          <w:numId w:val="19"/>
        </w:numPr>
      </w:pPr>
      <w:r>
        <w:t>Information regarding the long-term management of the affordable units, including the responsible party or parties, in order to ensure affordability in perpetuity</w:t>
      </w:r>
      <w:r w:rsidR="00307E82">
        <w:t>;</w:t>
      </w:r>
    </w:p>
    <w:p w14:paraId="548B9FC3" w14:textId="22045602" w:rsidR="008503EC" w:rsidRDefault="008503EC" w:rsidP="00EC2202">
      <w:pPr>
        <w:pStyle w:val="NoSpacing"/>
        <w:numPr>
          <w:ilvl w:val="0"/>
          <w:numId w:val="19"/>
        </w:numPr>
      </w:pPr>
      <w:r>
        <w:t>Draft legal documents to ensure continued affordability</w:t>
      </w:r>
      <w:r w:rsidR="00977A71">
        <w:t xml:space="preserve">, including but not limited to, deed restriction, restrictive covenant or contractual agreement with the Town. Such  documents shall </w:t>
      </w:r>
      <w:r w:rsidR="00A04696">
        <w:t>be</w:t>
      </w:r>
      <w:r w:rsidR="00977A71">
        <w:t xml:space="preserve"> approved by the Town Attorney, and shall include:</w:t>
      </w:r>
    </w:p>
    <w:p w14:paraId="3CBF5408" w14:textId="53FCCDA4" w:rsidR="00977A71" w:rsidRDefault="00977A71" w:rsidP="00977A71">
      <w:pPr>
        <w:pStyle w:val="NoSpacing"/>
        <w:ind w:left="1440"/>
      </w:pPr>
      <w:proofErr w:type="spellStart"/>
      <w:r>
        <w:t>i</w:t>
      </w:r>
      <w:proofErr w:type="spellEnd"/>
      <w:r>
        <w:t xml:space="preserve">. Resale restrictions that limit the resale price to whichever is the higher of  </w:t>
      </w:r>
      <w:r w:rsidR="00A04696">
        <w:t xml:space="preserve">whatever is affordable for </w:t>
      </w:r>
      <w:r>
        <w:t xml:space="preserve"> eligible household with combined income of no greater than 120% AMI, or the purchase price the seller paid plus 2% (non-compounding) for each year of ownership</w:t>
      </w:r>
      <w:r w:rsidR="00307E82">
        <w:t>;</w:t>
      </w:r>
    </w:p>
    <w:p w14:paraId="43911DF5" w14:textId="0D67DDD1" w:rsidR="00731A1D" w:rsidRDefault="00731A1D" w:rsidP="00977A71">
      <w:pPr>
        <w:pStyle w:val="NoSpacing"/>
        <w:ind w:left="1440"/>
      </w:pPr>
      <w:r>
        <w:t>ii. Rent change for rental units limited to 3% annually, or to the % change in the AMI on the annual VHFA chart.</w:t>
      </w:r>
    </w:p>
    <w:p w14:paraId="69F7D0F0" w14:textId="1599AAC1" w:rsidR="00A04696" w:rsidRDefault="00A04696" w:rsidP="00977A71">
      <w:pPr>
        <w:pStyle w:val="NoSpacing"/>
        <w:ind w:left="1440"/>
      </w:pPr>
      <w:r>
        <w:t xml:space="preserve">iii. Restrictions that prohibit subletting of units </w:t>
      </w:r>
      <w:r w:rsidR="008042CA">
        <w:t xml:space="preserve">to households </w:t>
      </w:r>
      <w:r>
        <w:t>at rents exceeding the  affordability criteria that have been established for the unit.</w:t>
      </w:r>
    </w:p>
    <w:p w14:paraId="78A1D15C" w14:textId="77777777" w:rsidR="008042CA" w:rsidRDefault="008042CA" w:rsidP="008042CA">
      <w:pPr>
        <w:pStyle w:val="NoSpacing"/>
      </w:pPr>
      <w:r>
        <w:t xml:space="preserve">        f)   Documents explaining the adaptable features of the accessible/adaptable units will </w:t>
      </w:r>
    </w:p>
    <w:p w14:paraId="38D0F519" w14:textId="77777777" w:rsidR="00307E82" w:rsidRDefault="008042CA" w:rsidP="008042CA">
      <w:pPr>
        <w:pStyle w:val="NoSpacing"/>
      </w:pPr>
      <w:r>
        <w:t xml:space="preserve">              be provided with the application, if accessible/adaptable units are requested.</w:t>
      </w:r>
      <w:r w:rsidR="00307E82">
        <w:t xml:space="preserve">  These</w:t>
      </w:r>
    </w:p>
    <w:p w14:paraId="0EF3AA62" w14:textId="4F1DD4C6" w:rsidR="008042CA" w:rsidRDefault="00307E82" w:rsidP="008042CA">
      <w:pPr>
        <w:pStyle w:val="NoSpacing"/>
      </w:pPr>
      <w:r>
        <w:t xml:space="preserve">             documents shall be provided to the new tenant or owner. </w:t>
      </w:r>
    </w:p>
    <w:p w14:paraId="20509671" w14:textId="77777777" w:rsidR="00425707" w:rsidRDefault="00D93CDC" w:rsidP="00425707">
      <w:pPr>
        <w:pStyle w:val="NoSpacing"/>
      </w:pPr>
      <w:r>
        <w:t xml:space="preserve">        </w:t>
      </w:r>
      <w:r w:rsidR="00425707">
        <w:t xml:space="preserve">g) </w:t>
      </w:r>
      <w:r w:rsidR="00084AD1">
        <w:t xml:space="preserve">Construction timeline and phasing plan for the proposed project, including all </w:t>
      </w:r>
    </w:p>
    <w:p w14:paraId="4D402483" w14:textId="0D24AC61" w:rsidR="008503EC" w:rsidRDefault="00425707" w:rsidP="00425707">
      <w:pPr>
        <w:pStyle w:val="NoSpacing"/>
      </w:pPr>
      <w:r>
        <w:t xml:space="preserve">             </w:t>
      </w:r>
      <w:r w:rsidR="00084AD1">
        <w:t>density bonus and market-rate units</w:t>
      </w:r>
      <w:r w:rsidR="008042CA">
        <w:t xml:space="preserve"> </w:t>
      </w:r>
    </w:p>
    <w:p w14:paraId="5A44A129" w14:textId="77777777" w:rsidR="00425707" w:rsidRDefault="00425707" w:rsidP="00425707">
      <w:pPr>
        <w:pStyle w:val="NoSpacing"/>
        <w:ind w:left="360"/>
      </w:pPr>
      <w:r>
        <w:t xml:space="preserve"> h)  </w:t>
      </w:r>
      <w:r w:rsidR="00A90552">
        <w:t xml:space="preserve">Any other information requested by the Zoning Administrator to determine project </w:t>
      </w:r>
    </w:p>
    <w:p w14:paraId="3983249C" w14:textId="01395E01" w:rsidR="00084AD1" w:rsidRDefault="00425707" w:rsidP="00425707">
      <w:pPr>
        <w:pStyle w:val="NoSpacing"/>
        <w:ind w:left="360"/>
      </w:pPr>
      <w:r>
        <w:t xml:space="preserve">       </w:t>
      </w:r>
      <w:r w:rsidR="00A90552">
        <w:t>compliance with Section 6.15.</w:t>
      </w:r>
    </w:p>
    <w:p w14:paraId="7CD4CFAE" w14:textId="77777777" w:rsidR="00CE641F" w:rsidRDefault="00CE641F" w:rsidP="00CE641F">
      <w:pPr>
        <w:pStyle w:val="NoSpacing"/>
        <w:ind w:left="360"/>
      </w:pPr>
    </w:p>
    <w:p w14:paraId="5755F24F" w14:textId="57C09B70" w:rsidR="00981DA9" w:rsidRDefault="00CE641F" w:rsidP="008B320E">
      <w:pPr>
        <w:pStyle w:val="NoSpacing"/>
      </w:pPr>
      <w:r>
        <w:rPr>
          <w:b/>
          <w:bCs/>
        </w:rPr>
        <w:t>6.15.</w:t>
      </w:r>
      <w:r w:rsidR="00FD4E2F">
        <w:rPr>
          <w:b/>
          <w:bCs/>
        </w:rPr>
        <w:t>7</w:t>
      </w:r>
      <w:r w:rsidR="004B3B28">
        <w:rPr>
          <w:b/>
          <w:bCs/>
        </w:rPr>
        <w:t>.</w:t>
      </w:r>
      <w:r>
        <w:rPr>
          <w:b/>
          <w:bCs/>
        </w:rPr>
        <w:t xml:space="preserve">3  </w:t>
      </w:r>
      <w:r w:rsidR="00981DA9" w:rsidRPr="004A4706">
        <w:rPr>
          <w:b/>
          <w:bCs/>
        </w:rPr>
        <w:t>Development Review Board (DRB)</w:t>
      </w:r>
      <w:r w:rsidR="00981DA9">
        <w:t xml:space="preserve"> </w:t>
      </w:r>
      <w:r w:rsidR="00895F0B">
        <w:t xml:space="preserve">shall determine that the following </w:t>
      </w:r>
      <w:r w:rsidR="00981DA9">
        <w:t xml:space="preserve"> </w:t>
      </w:r>
      <w:r w:rsidR="004A4706">
        <w:t>requirements</w:t>
      </w:r>
      <w:r w:rsidR="00981DA9">
        <w:t xml:space="preserve"> for approval </w:t>
      </w:r>
      <w:r w:rsidR="00D1260A">
        <w:t xml:space="preserve">are met </w:t>
      </w:r>
      <w:r w:rsidR="006A7416">
        <w:t>by</w:t>
      </w:r>
      <w:r w:rsidR="00895F0B">
        <w:t xml:space="preserve"> a development incorporating density bonus units:</w:t>
      </w:r>
    </w:p>
    <w:p w14:paraId="00E876AA" w14:textId="1C9E0C9F" w:rsidR="00981DA9" w:rsidRDefault="00981DA9" w:rsidP="00981DA9">
      <w:pPr>
        <w:pStyle w:val="NoSpacing"/>
        <w:numPr>
          <w:ilvl w:val="0"/>
          <w:numId w:val="21"/>
        </w:numPr>
      </w:pPr>
      <w:r>
        <w:t xml:space="preserve"> </w:t>
      </w:r>
      <w:r w:rsidR="00895F0B">
        <w:t>A</w:t>
      </w:r>
      <w:r>
        <w:t xml:space="preserve">ccessible/adaptable and affordable dwelling units </w:t>
      </w:r>
      <w:r w:rsidR="00895F0B">
        <w:t>shall be</w:t>
      </w:r>
      <w:r>
        <w:t xml:space="preserve"> physically integrated among the market-rate units in the design of the project</w:t>
      </w:r>
      <w:r w:rsidR="00895F0B">
        <w:t>; and</w:t>
      </w:r>
    </w:p>
    <w:p w14:paraId="362D2735" w14:textId="64CDA5CE" w:rsidR="00981DA9" w:rsidRDefault="00895F0B" w:rsidP="00981DA9">
      <w:pPr>
        <w:pStyle w:val="NoSpacing"/>
        <w:numPr>
          <w:ilvl w:val="0"/>
          <w:numId w:val="21"/>
        </w:numPr>
      </w:pPr>
      <w:r>
        <w:t>T</w:t>
      </w:r>
      <w:r w:rsidR="00981DA9">
        <w:t>he maximum residential density for the District in which the project is located is not exceeded</w:t>
      </w:r>
      <w:r>
        <w:t>; and</w:t>
      </w:r>
    </w:p>
    <w:p w14:paraId="279CF03E" w14:textId="1C16DD83" w:rsidR="00981DA9" w:rsidRDefault="00895F0B" w:rsidP="00981DA9">
      <w:pPr>
        <w:pStyle w:val="NoSpacing"/>
        <w:numPr>
          <w:ilvl w:val="0"/>
          <w:numId w:val="21"/>
        </w:numPr>
      </w:pPr>
      <w:r>
        <w:t>The varied types of accessible/adaptable and/o</w:t>
      </w:r>
      <w:r w:rsidR="00865F3C">
        <w:t>r</w:t>
      </w:r>
      <w:r>
        <w:t xml:space="preserve"> affordable dwelling units shall be approved at the discretion of the DRB; and</w:t>
      </w:r>
    </w:p>
    <w:p w14:paraId="7E79F06E" w14:textId="7623C183" w:rsidR="00895F0B" w:rsidRDefault="00895F0B" w:rsidP="00981DA9">
      <w:pPr>
        <w:pStyle w:val="NoSpacing"/>
        <w:numPr>
          <w:ilvl w:val="0"/>
          <w:numId w:val="21"/>
        </w:numPr>
      </w:pPr>
      <w:r>
        <w:t>The documents that the applicant has submitted to ensure the on-going affordability of affordable units shall be reviewed and approved by the DRB</w:t>
      </w:r>
      <w:r w:rsidR="007A648B">
        <w:t xml:space="preserve"> after review by the Town Attorney for legality; </w:t>
      </w:r>
      <w:r>
        <w:t xml:space="preserve"> and</w:t>
      </w:r>
    </w:p>
    <w:p w14:paraId="3DF4D985" w14:textId="534B66A8" w:rsidR="00895F0B" w:rsidRDefault="00895F0B" w:rsidP="00981DA9">
      <w:pPr>
        <w:pStyle w:val="NoSpacing"/>
        <w:numPr>
          <w:ilvl w:val="0"/>
          <w:numId w:val="21"/>
        </w:numPr>
      </w:pPr>
      <w:r>
        <w:t xml:space="preserve">The documents that the applicant has submitted explaining the adaptable features of the accessible/adaptable units, to be given to an incoming tenant or </w:t>
      </w:r>
      <w:r>
        <w:lastRenderedPageBreak/>
        <w:t>new owner at the time of rental or sale, shall be reviewed and approved by the DRB</w:t>
      </w:r>
      <w:r w:rsidR="00865F3C">
        <w:t>; and</w:t>
      </w:r>
    </w:p>
    <w:p w14:paraId="3A9CE299" w14:textId="77777777" w:rsidR="00981DA9" w:rsidRDefault="00981DA9" w:rsidP="00981DA9">
      <w:pPr>
        <w:pStyle w:val="NoSpacing"/>
        <w:ind w:left="360"/>
        <w:rPr>
          <w:b/>
          <w:bCs/>
        </w:rPr>
      </w:pPr>
    </w:p>
    <w:p w14:paraId="06CA30B2" w14:textId="1799C53A" w:rsidR="00981DA9" w:rsidRDefault="00981DA9" w:rsidP="008B320E">
      <w:pPr>
        <w:pStyle w:val="NoSpacing"/>
      </w:pPr>
      <w:r>
        <w:rPr>
          <w:b/>
          <w:bCs/>
        </w:rPr>
        <w:t>6.15.</w:t>
      </w:r>
      <w:r w:rsidR="00FD4E2F">
        <w:rPr>
          <w:b/>
          <w:bCs/>
        </w:rPr>
        <w:t>7</w:t>
      </w:r>
      <w:r w:rsidR="004B3B28">
        <w:rPr>
          <w:b/>
          <w:bCs/>
        </w:rPr>
        <w:t>.</w:t>
      </w:r>
      <w:r>
        <w:rPr>
          <w:b/>
          <w:bCs/>
        </w:rPr>
        <w:t xml:space="preserve">4  </w:t>
      </w:r>
      <w:r w:rsidR="00D1260A">
        <w:rPr>
          <w:b/>
          <w:bCs/>
        </w:rPr>
        <w:t xml:space="preserve">Long-term </w:t>
      </w:r>
      <w:r w:rsidRPr="004A4706">
        <w:rPr>
          <w:b/>
          <w:bCs/>
        </w:rPr>
        <w:t xml:space="preserve">Monitoring </w:t>
      </w:r>
      <w:r>
        <w:t>requirements</w:t>
      </w:r>
    </w:p>
    <w:p w14:paraId="0774EBCC" w14:textId="77777777" w:rsidR="009C5997" w:rsidRDefault="009C5997" w:rsidP="009C5997">
      <w:pPr>
        <w:pStyle w:val="NoSpacing"/>
        <w:ind w:firstLine="720"/>
      </w:pPr>
      <w:r>
        <w:t xml:space="preserve">a)   </w:t>
      </w:r>
      <w:r w:rsidR="00981DA9">
        <w:t xml:space="preserve">Annually, the applicant or </w:t>
      </w:r>
      <w:r w:rsidR="007A648B">
        <w:t xml:space="preserve">subsequent </w:t>
      </w:r>
      <w:r w:rsidR="00981DA9">
        <w:t>owner of a project that has received</w:t>
      </w:r>
    </w:p>
    <w:p w14:paraId="26445B2F" w14:textId="77777777" w:rsidR="001E25A8" w:rsidRDefault="009C5997" w:rsidP="009C5997">
      <w:pPr>
        <w:pStyle w:val="NoSpacing"/>
        <w:ind w:firstLine="720"/>
      </w:pPr>
      <w:r>
        <w:t xml:space="preserve">      </w:t>
      </w:r>
      <w:r w:rsidR="00981DA9">
        <w:t xml:space="preserve"> affordable housing  density bonus</w:t>
      </w:r>
      <w:r w:rsidR="001E25A8">
        <w:t xml:space="preserve"> </w:t>
      </w:r>
      <w:r w:rsidR="00981DA9">
        <w:t xml:space="preserve">dwelling units </w:t>
      </w:r>
      <w:r w:rsidR="001E25A8">
        <w:t xml:space="preserve">for rental </w:t>
      </w:r>
      <w:r w:rsidR="00981DA9">
        <w:t xml:space="preserve">shall submit a report </w:t>
      </w:r>
    </w:p>
    <w:p w14:paraId="32EE2E94" w14:textId="2C4CBA16" w:rsidR="001E25A8" w:rsidRDefault="001E25A8" w:rsidP="001E25A8">
      <w:pPr>
        <w:pStyle w:val="NoSpacing"/>
        <w:ind w:firstLine="720"/>
      </w:pPr>
      <w:r>
        <w:t xml:space="preserve">       </w:t>
      </w:r>
      <w:r w:rsidR="00981DA9">
        <w:t>to the</w:t>
      </w:r>
      <w:r w:rsidR="009C5997">
        <w:t xml:space="preserve"> </w:t>
      </w:r>
      <w:r w:rsidR="00981DA9">
        <w:t xml:space="preserve">Planning and Zoning Department that lists the gross rents charge for </w:t>
      </w:r>
    </w:p>
    <w:p w14:paraId="0378B231" w14:textId="6612C907" w:rsidR="001E25A8" w:rsidRDefault="001E25A8" w:rsidP="001E25A8">
      <w:pPr>
        <w:pStyle w:val="NoSpacing"/>
        <w:ind w:firstLine="720"/>
      </w:pPr>
      <w:r>
        <w:t xml:space="preserve">       </w:t>
      </w:r>
      <w:r w:rsidR="00981DA9">
        <w:t>affordable</w:t>
      </w:r>
      <w:r>
        <w:t xml:space="preserve"> </w:t>
      </w:r>
      <w:r w:rsidR="00981DA9">
        <w:t>housing units and  household incomes at move-in</w:t>
      </w:r>
      <w:r w:rsidR="00AA1525">
        <w:t xml:space="preserve"> or sublet</w:t>
      </w:r>
      <w:r w:rsidR="00981DA9">
        <w:t xml:space="preserve">, based on </w:t>
      </w:r>
    </w:p>
    <w:p w14:paraId="38513627" w14:textId="63321633" w:rsidR="001E25A8" w:rsidRDefault="001E25A8" w:rsidP="001E25A8">
      <w:pPr>
        <w:pStyle w:val="NoSpacing"/>
        <w:ind w:firstLine="720"/>
      </w:pPr>
      <w:r>
        <w:t xml:space="preserve">       </w:t>
      </w:r>
      <w:r w:rsidR="00981DA9">
        <w:t xml:space="preserve">documentation </w:t>
      </w:r>
      <w:r w:rsidR="009C5997">
        <w:t xml:space="preserve"> </w:t>
      </w:r>
      <w:r w:rsidR="00981DA9">
        <w:t xml:space="preserve">provided by the current  tenant for  owner’s completion of </w:t>
      </w:r>
      <w:r>
        <w:t xml:space="preserve">a </w:t>
      </w:r>
      <w:r w:rsidR="00981DA9">
        <w:t xml:space="preserve">form </w:t>
      </w:r>
    </w:p>
    <w:p w14:paraId="2DDB5D9E" w14:textId="77777777" w:rsidR="001E25A8" w:rsidRDefault="001E25A8" w:rsidP="001E25A8">
      <w:pPr>
        <w:pStyle w:val="NoSpacing"/>
        <w:ind w:firstLine="720"/>
      </w:pPr>
      <w:r>
        <w:t xml:space="preserve">       </w:t>
      </w:r>
      <w:r w:rsidR="00981DA9">
        <w:t>provided by the</w:t>
      </w:r>
      <w:r>
        <w:t xml:space="preserve"> </w:t>
      </w:r>
      <w:r w:rsidR="00981DA9">
        <w:t>Town, to certify that rent and household income maximums have</w:t>
      </w:r>
    </w:p>
    <w:p w14:paraId="07B0C8C6" w14:textId="61115001" w:rsidR="00981DA9" w:rsidRDefault="001E25A8" w:rsidP="001E25A8">
      <w:pPr>
        <w:pStyle w:val="NoSpacing"/>
        <w:ind w:firstLine="720"/>
      </w:pPr>
      <w:r>
        <w:t xml:space="preserve">      </w:t>
      </w:r>
      <w:r w:rsidR="00981DA9">
        <w:t xml:space="preserve"> been maintained as required.</w:t>
      </w:r>
    </w:p>
    <w:p w14:paraId="04DFBDA6" w14:textId="4C91E345" w:rsidR="001E25A8" w:rsidRDefault="003E6826" w:rsidP="001E25A8">
      <w:pPr>
        <w:pStyle w:val="NoSpacing"/>
        <w:ind w:firstLine="720"/>
      </w:pPr>
      <w:r>
        <w:t xml:space="preserve">b) </w:t>
      </w:r>
      <w:r w:rsidR="001E25A8">
        <w:t xml:space="preserve">  The  owner of an affordable for-sale housing  project that has been</w:t>
      </w:r>
    </w:p>
    <w:p w14:paraId="02BE3AC4" w14:textId="77777777" w:rsidR="001E25A8" w:rsidRDefault="001E25A8" w:rsidP="001E25A8">
      <w:pPr>
        <w:pStyle w:val="NoSpacing"/>
        <w:ind w:firstLine="720"/>
      </w:pPr>
      <w:r>
        <w:t xml:space="preserve">       developed under Section 6.15, shall be required to notify the Richmond Planning </w:t>
      </w:r>
    </w:p>
    <w:p w14:paraId="6F8CA84C" w14:textId="77777777" w:rsidR="002239FB" w:rsidRDefault="001E25A8" w:rsidP="001E25A8">
      <w:pPr>
        <w:pStyle w:val="NoSpacing"/>
        <w:ind w:firstLine="720"/>
      </w:pPr>
      <w:r>
        <w:t xml:space="preserve">       and Zoning Department if the property is to be offered for sale or rental, and shall</w:t>
      </w:r>
    </w:p>
    <w:p w14:paraId="0937D6A2" w14:textId="5278BBFD" w:rsidR="001E25A8" w:rsidRDefault="002239FB" w:rsidP="002239FB">
      <w:pPr>
        <w:pStyle w:val="NoSpacing"/>
        <w:ind w:firstLine="720"/>
      </w:pPr>
      <w:r>
        <w:t xml:space="preserve">      </w:t>
      </w:r>
      <w:r w:rsidR="001E25A8">
        <w:t xml:space="preserve"> abide by</w:t>
      </w:r>
      <w:r>
        <w:t xml:space="preserve"> </w:t>
      </w:r>
      <w:r w:rsidR="001E25A8">
        <w:t xml:space="preserve">the affordability requirements for the life of the initial agreement.  </w:t>
      </w:r>
    </w:p>
    <w:p w14:paraId="3208381D" w14:textId="77777777" w:rsidR="00F6131D" w:rsidRDefault="00F6131D" w:rsidP="0006012F">
      <w:pPr>
        <w:pStyle w:val="NoSpacing"/>
        <w:rPr>
          <w:b/>
          <w:bCs/>
        </w:rPr>
      </w:pPr>
    </w:p>
    <w:p w14:paraId="142372DE" w14:textId="2B138931" w:rsidR="0006012F" w:rsidRDefault="0006012F" w:rsidP="0006012F">
      <w:pPr>
        <w:pStyle w:val="NoSpacing"/>
      </w:pPr>
      <w:r>
        <w:rPr>
          <w:b/>
          <w:bCs/>
        </w:rPr>
        <w:t>6.15.</w:t>
      </w:r>
      <w:r w:rsidR="00FD4E2F">
        <w:rPr>
          <w:b/>
          <w:bCs/>
        </w:rPr>
        <w:t>7</w:t>
      </w:r>
      <w:r w:rsidR="004B3B28">
        <w:rPr>
          <w:b/>
          <w:bCs/>
        </w:rPr>
        <w:t>.</w:t>
      </w:r>
      <w:r>
        <w:rPr>
          <w:b/>
          <w:bCs/>
        </w:rPr>
        <w:t xml:space="preserve">5  </w:t>
      </w:r>
      <w:r w:rsidRPr="004A4706">
        <w:rPr>
          <w:b/>
          <w:bCs/>
        </w:rPr>
        <w:t>Alteration of status</w:t>
      </w:r>
      <w:r w:rsidRPr="0006012F">
        <w:t xml:space="preserve"> of </w:t>
      </w:r>
      <w:r>
        <w:t>an affordable dwelling unit used to obtain density-bonus market-rate units</w:t>
      </w:r>
      <w:r w:rsidR="00056A72">
        <w:t xml:space="preserve"> under this program</w:t>
      </w:r>
      <w:r w:rsidR="004B3B28">
        <w:t xml:space="preserve"> shall adhere to the following </w:t>
      </w:r>
      <w:r w:rsidR="00AB768A">
        <w:t>requirements</w:t>
      </w:r>
      <w:r w:rsidR="004B3B28">
        <w:t>:</w:t>
      </w:r>
    </w:p>
    <w:p w14:paraId="370F4DAD" w14:textId="77777777" w:rsidR="004B3B28" w:rsidRDefault="00056A72" w:rsidP="00056A72">
      <w:pPr>
        <w:pStyle w:val="NoSpacing"/>
        <w:ind w:left="450"/>
      </w:pPr>
      <w:r>
        <w:t>a)  If at any point in time an affordable dwelling unit is to be removed, demolished or</w:t>
      </w:r>
    </w:p>
    <w:p w14:paraId="5AC0889B" w14:textId="77777777" w:rsidR="004B3B28" w:rsidRDefault="004B3B28" w:rsidP="00056A72">
      <w:pPr>
        <w:pStyle w:val="NoSpacing"/>
        <w:ind w:left="450"/>
      </w:pPr>
      <w:r>
        <w:t xml:space="preserve">    </w:t>
      </w:r>
      <w:r w:rsidR="00056A72">
        <w:t xml:space="preserve"> </w:t>
      </w:r>
      <w:r>
        <w:t xml:space="preserve">  </w:t>
      </w:r>
      <w:r w:rsidR="00056A72">
        <w:t xml:space="preserve">converted to a different use – including a market-rate residential use – or a non-use </w:t>
      </w:r>
    </w:p>
    <w:p w14:paraId="07C44239" w14:textId="77777777" w:rsidR="004B3B28" w:rsidRDefault="004B3B28" w:rsidP="00056A72">
      <w:pPr>
        <w:pStyle w:val="NoSpacing"/>
        <w:ind w:left="450"/>
      </w:pPr>
      <w:r>
        <w:t xml:space="preserve">      </w:t>
      </w:r>
      <w:r w:rsidR="00056A72">
        <w:t xml:space="preserve">(i.e. a vacant lot), the parties responsible for changing the status of the affordable </w:t>
      </w:r>
    </w:p>
    <w:p w14:paraId="6A69A561" w14:textId="77777777" w:rsidR="004B3B28" w:rsidRDefault="004B3B28" w:rsidP="00056A72">
      <w:pPr>
        <w:pStyle w:val="NoSpacing"/>
        <w:ind w:left="450"/>
      </w:pPr>
      <w:r>
        <w:t xml:space="preserve">      </w:t>
      </w:r>
      <w:r w:rsidR="00056A72">
        <w:t>dwelling unit must establish a replacement affordable dwelling unit within the Town</w:t>
      </w:r>
    </w:p>
    <w:p w14:paraId="4DAC3B85" w14:textId="77777777" w:rsidR="00DD2366" w:rsidRDefault="004B3B28" w:rsidP="00056A72">
      <w:pPr>
        <w:pStyle w:val="NoSpacing"/>
        <w:ind w:left="450"/>
      </w:pPr>
      <w:r>
        <w:t xml:space="preserve">      </w:t>
      </w:r>
      <w:r w:rsidR="00056A72">
        <w:t xml:space="preserve"> of Richmond. </w:t>
      </w:r>
      <w:r w:rsidR="00DD2366">
        <w:t xml:space="preserve">This unit shall be reviewed and approved by the Richmond Planning </w:t>
      </w:r>
    </w:p>
    <w:p w14:paraId="004CA704" w14:textId="6D327353" w:rsidR="00056A72" w:rsidRDefault="00DD2366" w:rsidP="00056A72">
      <w:pPr>
        <w:pStyle w:val="NoSpacing"/>
        <w:ind w:left="450"/>
      </w:pPr>
      <w:r>
        <w:t xml:space="preserve">       and Zoning Department.</w:t>
      </w:r>
      <w:r w:rsidR="00056A72">
        <w:t xml:space="preserve"> </w:t>
      </w:r>
    </w:p>
    <w:p w14:paraId="544F3641" w14:textId="77777777" w:rsidR="004B3B28" w:rsidRDefault="00056A72" w:rsidP="00056A72">
      <w:pPr>
        <w:pStyle w:val="NoSpacing"/>
      </w:pPr>
      <w:r>
        <w:t xml:space="preserve">           b) An affordable  replacement unit shall have either the same number of bedrooms or</w:t>
      </w:r>
    </w:p>
    <w:p w14:paraId="4ED6D334" w14:textId="4B3D89B5" w:rsidR="00056A72" w:rsidRDefault="00056A72" w:rsidP="00056A72">
      <w:pPr>
        <w:pStyle w:val="NoSpacing"/>
      </w:pPr>
      <w:r>
        <w:t xml:space="preserve"> </w:t>
      </w:r>
      <w:r w:rsidR="004B3B28">
        <w:t xml:space="preserve">                </w:t>
      </w:r>
      <w:r>
        <w:t>the same floor area as the dwelling unit being replaced.</w:t>
      </w:r>
    </w:p>
    <w:p w14:paraId="1EE6CC79" w14:textId="77777777" w:rsidR="004B3B28" w:rsidRDefault="00056A72" w:rsidP="00056A72">
      <w:pPr>
        <w:pStyle w:val="NoSpacing"/>
      </w:pPr>
      <w:r>
        <w:t xml:space="preserve">            c)  A replacement affordable dwelling unit shall conform to </w:t>
      </w:r>
      <w:r w:rsidR="004B3B28">
        <w:t>all applicable</w:t>
      </w:r>
      <w:r>
        <w:t xml:space="preserve"> regulations</w:t>
      </w:r>
    </w:p>
    <w:p w14:paraId="05FCB440" w14:textId="4BE1A6EC" w:rsidR="00056A72" w:rsidRDefault="00056A72" w:rsidP="00056A72">
      <w:pPr>
        <w:pStyle w:val="NoSpacing"/>
      </w:pPr>
      <w:r>
        <w:t xml:space="preserve"> </w:t>
      </w:r>
      <w:r w:rsidR="004B3B28">
        <w:t xml:space="preserve">                 </w:t>
      </w:r>
      <w:r>
        <w:t>of Section</w:t>
      </w:r>
      <w:r w:rsidR="004B3B28">
        <w:t xml:space="preserve"> </w:t>
      </w:r>
      <w:r>
        <w:t>6.15</w:t>
      </w:r>
      <w:r w:rsidR="004B3B28">
        <w:t>.</w:t>
      </w:r>
    </w:p>
    <w:p w14:paraId="0C781F64" w14:textId="274D8BE1" w:rsidR="004B3B28" w:rsidRDefault="004B3B28" w:rsidP="00056A72">
      <w:pPr>
        <w:pStyle w:val="NoSpacing"/>
      </w:pPr>
      <w:r>
        <w:t xml:space="preserve">            d)  For replacement of an affordable ownership </w:t>
      </w:r>
      <w:r w:rsidR="00DC5B8C">
        <w:t xml:space="preserve">dwelling </w:t>
      </w:r>
      <w:r>
        <w:t xml:space="preserve">unit, the </w:t>
      </w:r>
    </w:p>
    <w:p w14:paraId="102B6AB5" w14:textId="77777777" w:rsidR="004B3B28" w:rsidRDefault="004B3B28" w:rsidP="00056A72">
      <w:pPr>
        <w:pStyle w:val="NoSpacing"/>
      </w:pPr>
      <w:r>
        <w:t xml:space="preserve">                 replacement unit shall be offered for sale at or below the fair-market value of the </w:t>
      </w:r>
    </w:p>
    <w:p w14:paraId="7935515D" w14:textId="1BFC69E0" w:rsidR="004B3B28" w:rsidRDefault="004B3B28" w:rsidP="00056A72">
      <w:pPr>
        <w:pStyle w:val="NoSpacing"/>
      </w:pPr>
      <w:r>
        <w:t xml:space="preserve">                 unit to be replaced as determined either by an appraisal provided by the applicant </w:t>
      </w:r>
      <w:r>
        <w:tab/>
      </w:r>
    </w:p>
    <w:p w14:paraId="0209EA68" w14:textId="1F0A2256" w:rsidR="004B3B28" w:rsidRDefault="004B3B28" w:rsidP="00056A72">
      <w:pPr>
        <w:pStyle w:val="NoSpacing"/>
      </w:pPr>
      <w:r>
        <w:tab/>
        <w:t xml:space="preserve"> or by the Town’s latest assessed value of the unit to be replaced and its premises.</w:t>
      </w:r>
    </w:p>
    <w:p w14:paraId="384B7FAC" w14:textId="77777777" w:rsidR="00F66BB0" w:rsidRDefault="00F66BB0" w:rsidP="00F66BB0">
      <w:pPr>
        <w:pStyle w:val="NoSpacing"/>
        <w:ind w:left="588"/>
      </w:pPr>
      <w:r>
        <w:t xml:space="preserve">e)  This section shall not be applicable to an affordable dwelling unit that was ordered </w:t>
      </w:r>
    </w:p>
    <w:p w14:paraId="247B0B37" w14:textId="77777777" w:rsidR="00F66BB0" w:rsidRDefault="00F66BB0" w:rsidP="00F66BB0">
      <w:pPr>
        <w:pStyle w:val="NoSpacing"/>
        <w:ind w:left="588"/>
      </w:pPr>
      <w:r>
        <w:t xml:space="preserve">      demolished or declared unfit for habitation because of damage caused by natural </w:t>
      </w:r>
    </w:p>
    <w:p w14:paraId="26AC6BC5" w14:textId="340F1CBF" w:rsidR="002B4F53" w:rsidRDefault="00F66BB0" w:rsidP="00F66BB0">
      <w:pPr>
        <w:pStyle w:val="NoSpacing"/>
        <w:ind w:left="588"/>
      </w:pPr>
      <w:r>
        <w:t xml:space="preserve">      disaster, fire, flood, or other causes beyond the owner’s control. </w:t>
      </w:r>
    </w:p>
    <w:p w14:paraId="263D5F39" w14:textId="77777777" w:rsidR="00056A72" w:rsidRPr="0006012F" w:rsidRDefault="00056A72" w:rsidP="00056A72">
      <w:pPr>
        <w:pStyle w:val="NoSpacing"/>
      </w:pPr>
    </w:p>
    <w:p w14:paraId="7B318112" w14:textId="35318301" w:rsidR="0006012F" w:rsidRPr="0006012F" w:rsidRDefault="0006012F" w:rsidP="0006012F">
      <w:pPr>
        <w:pStyle w:val="NoSpacing"/>
      </w:pPr>
      <w:r>
        <w:tab/>
      </w:r>
    </w:p>
    <w:p w14:paraId="24130D70" w14:textId="77777777" w:rsidR="00981DA9" w:rsidRDefault="00981DA9" w:rsidP="00981DA9">
      <w:pPr>
        <w:pStyle w:val="NoSpacing"/>
        <w:ind w:left="360"/>
      </w:pPr>
    </w:p>
    <w:p w14:paraId="31EE2B57" w14:textId="09F7580C" w:rsidR="00981DA9" w:rsidRPr="00981DA9" w:rsidRDefault="00981DA9" w:rsidP="00CE641F">
      <w:pPr>
        <w:pStyle w:val="NoSpacing"/>
        <w:ind w:left="360"/>
      </w:pPr>
    </w:p>
    <w:sectPr w:rsidR="00981DA9" w:rsidRPr="00981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134"/>
    <w:multiLevelType w:val="hybridMultilevel"/>
    <w:tmpl w:val="B85ACE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30F82"/>
    <w:multiLevelType w:val="hybridMultilevel"/>
    <w:tmpl w:val="AA282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D31C7"/>
    <w:multiLevelType w:val="hybridMultilevel"/>
    <w:tmpl w:val="C1C88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5743C"/>
    <w:multiLevelType w:val="hybridMultilevel"/>
    <w:tmpl w:val="2C4CD592"/>
    <w:lvl w:ilvl="0" w:tplc="B9604974">
      <w:start w:val="1"/>
      <w:numFmt w:val="lowerLetter"/>
      <w:lvlText w:val="%1)"/>
      <w:lvlJc w:val="lef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2FA69EA"/>
    <w:multiLevelType w:val="hybridMultilevel"/>
    <w:tmpl w:val="E5268A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B124C"/>
    <w:multiLevelType w:val="hybridMultilevel"/>
    <w:tmpl w:val="13E0C76E"/>
    <w:lvl w:ilvl="0" w:tplc="CF1ACD8C">
      <w:start w:val="1"/>
      <w:numFmt w:val="low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6" w15:restartNumberingAfterBreak="0">
    <w:nsid w:val="09AB0D5A"/>
    <w:multiLevelType w:val="hybridMultilevel"/>
    <w:tmpl w:val="BBDA14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480C65"/>
    <w:multiLevelType w:val="hybridMultilevel"/>
    <w:tmpl w:val="6DF03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25D06"/>
    <w:multiLevelType w:val="hybridMultilevel"/>
    <w:tmpl w:val="63CCE5B6"/>
    <w:lvl w:ilvl="0" w:tplc="2488D972">
      <w:start w:val="1"/>
      <w:numFmt w:val="lowerLetter"/>
      <w:lvlText w:val="%1)"/>
      <w:lvlJc w:val="left"/>
      <w:pPr>
        <w:ind w:left="81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4AE1B00"/>
    <w:multiLevelType w:val="hybridMultilevel"/>
    <w:tmpl w:val="174E5A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87805"/>
    <w:multiLevelType w:val="hybridMultilevel"/>
    <w:tmpl w:val="41A82558"/>
    <w:lvl w:ilvl="0" w:tplc="B804283E">
      <w:start w:val="1"/>
      <w:numFmt w:val="lowerLetter"/>
      <w:lvlText w:val="%1)"/>
      <w:lvlJc w:val="left"/>
      <w:pPr>
        <w:ind w:left="744" w:hanging="360"/>
      </w:pPr>
      <w:rPr>
        <w:rFonts w:hint="default"/>
        <w:b/>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1" w15:restartNumberingAfterBreak="0">
    <w:nsid w:val="1F8F7B66"/>
    <w:multiLevelType w:val="hybridMultilevel"/>
    <w:tmpl w:val="75747774"/>
    <w:lvl w:ilvl="0" w:tplc="04090017">
      <w:start w:val="1"/>
      <w:numFmt w:val="lowerLetter"/>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2" w15:restartNumberingAfterBreak="0">
    <w:nsid w:val="27483EB8"/>
    <w:multiLevelType w:val="hybridMultilevel"/>
    <w:tmpl w:val="CEFC50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ED0573"/>
    <w:multiLevelType w:val="hybridMultilevel"/>
    <w:tmpl w:val="B85ACEC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195380B"/>
    <w:multiLevelType w:val="hybridMultilevel"/>
    <w:tmpl w:val="5A18E020"/>
    <w:lvl w:ilvl="0" w:tplc="04090017">
      <w:start w:val="1"/>
      <w:numFmt w:val="lowerLetter"/>
      <w:lvlText w:val="%1)"/>
      <w:lvlJc w:val="left"/>
      <w:pPr>
        <w:ind w:left="810"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5" w15:restartNumberingAfterBreak="0">
    <w:nsid w:val="491A223A"/>
    <w:multiLevelType w:val="hybridMultilevel"/>
    <w:tmpl w:val="4844A900"/>
    <w:lvl w:ilvl="0" w:tplc="04090017">
      <w:start w:val="1"/>
      <w:numFmt w:val="lowerLetter"/>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16" w15:restartNumberingAfterBreak="0">
    <w:nsid w:val="49632C5F"/>
    <w:multiLevelType w:val="hybridMultilevel"/>
    <w:tmpl w:val="FE50D36E"/>
    <w:lvl w:ilvl="0" w:tplc="04090017">
      <w:start w:val="1"/>
      <w:numFmt w:val="lowerLetter"/>
      <w:lvlText w:val="%1)"/>
      <w:lvlJc w:val="left"/>
      <w:pPr>
        <w:ind w:left="1116" w:hanging="360"/>
      </w:p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7" w15:restartNumberingAfterBreak="0">
    <w:nsid w:val="52CE0224"/>
    <w:multiLevelType w:val="hybridMultilevel"/>
    <w:tmpl w:val="8F4A751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54601F16"/>
    <w:multiLevelType w:val="hybridMultilevel"/>
    <w:tmpl w:val="09148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C3C59"/>
    <w:multiLevelType w:val="hybridMultilevel"/>
    <w:tmpl w:val="E1668A30"/>
    <w:lvl w:ilvl="0" w:tplc="04090017">
      <w:start w:val="1"/>
      <w:numFmt w:val="low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0" w15:restartNumberingAfterBreak="0">
    <w:nsid w:val="7C2A3226"/>
    <w:multiLevelType w:val="hybridMultilevel"/>
    <w:tmpl w:val="FFD2AB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C114CB"/>
    <w:multiLevelType w:val="hybridMultilevel"/>
    <w:tmpl w:val="E8D003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1114199">
    <w:abstractNumId w:val="4"/>
  </w:num>
  <w:num w:numId="2" w16cid:durableId="735318807">
    <w:abstractNumId w:val="0"/>
  </w:num>
  <w:num w:numId="3" w16cid:durableId="1867063808">
    <w:abstractNumId w:val="1"/>
  </w:num>
  <w:num w:numId="4" w16cid:durableId="267782816">
    <w:abstractNumId w:val="19"/>
  </w:num>
  <w:num w:numId="5" w16cid:durableId="1005978515">
    <w:abstractNumId w:val="17"/>
  </w:num>
  <w:num w:numId="6" w16cid:durableId="1255213076">
    <w:abstractNumId w:val="9"/>
  </w:num>
  <w:num w:numId="7" w16cid:durableId="268784920">
    <w:abstractNumId w:val="15"/>
  </w:num>
  <w:num w:numId="8" w16cid:durableId="856508272">
    <w:abstractNumId w:val="18"/>
  </w:num>
  <w:num w:numId="9" w16cid:durableId="1218130699">
    <w:abstractNumId w:val="20"/>
  </w:num>
  <w:num w:numId="10" w16cid:durableId="1479615303">
    <w:abstractNumId w:val="6"/>
  </w:num>
  <w:num w:numId="11" w16cid:durableId="604384486">
    <w:abstractNumId w:val="12"/>
  </w:num>
  <w:num w:numId="12" w16cid:durableId="1033579015">
    <w:abstractNumId w:val="13"/>
  </w:num>
  <w:num w:numId="13" w16cid:durableId="893856784">
    <w:abstractNumId w:val="8"/>
  </w:num>
  <w:num w:numId="14" w16cid:durableId="1348484539">
    <w:abstractNumId w:val="3"/>
  </w:num>
  <w:num w:numId="15" w16cid:durableId="1622108526">
    <w:abstractNumId w:val="2"/>
  </w:num>
  <w:num w:numId="16" w16cid:durableId="1959337202">
    <w:abstractNumId w:val="11"/>
  </w:num>
  <w:num w:numId="17" w16cid:durableId="1375423357">
    <w:abstractNumId w:val="16"/>
  </w:num>
  <w:num w:numId="18" w16cid:durableId="1249582777">
    <w:abstractNumId w:val="10"/>
  </w:num>
  <w:num w:numId="19" w16cid:durableId="267350770">
    <w:abstractNumId w:val="7"/>
  </w:num>
  <w:num w:numId="20" w16cid:durableId="1588609283">
    <w:abstractNumId w:val="14"/>
  </w:num>
  <w:num w:numId="21" w16cid:durableId="1173253123">
    <w:abstractNumId w:val="21"/>
  </w:num>
  <w:num w:numId="22" w16cid:durableId="264659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AC"/>
    <w:rsid w:val="000067DC"/>
    <w:rsid w:val="000117E6"/>
    <w:rsid w:val="00016E24"/>
    <w:rsid w:val="000204A8"/>
    <w:rsid w:val="00024E44"/>
    <w:rsid w:val="000250C0"/>
    <w:rsid w:val="00030780"/>
    <w:rsid w:val="000526D4"/>
    <w:rsid w:val="00056A72"/>
    <w:rsid w:val="0006012F"/>
    <w:rsid w:val="00064D07"/>
    <w:rsid w:val="000741BE"/>
    <w:rsid w:val="000742AB"/>
    <w:rsid w:val="00074438"/>
    <w:rsid w:val="00084AD1"/>
    <w:rsid w:val="00086677"/>
    <w:rsid w:val="00087AD1"/>
    <w:rsid w:val="000A7413"/>
    <w:rsid w:val="000B614B"/>
    <w:rsid w:val="000C0752"/>
    <w:rsid w:val="000C1BE3"/>
    <w:rsid w:val="000D0AD7"/>
    <w:rsid w:val="000D7DC2"/>
    <w:rsid w:val="001220D6"/>
    <w:rsid w:val="00125087"/>
    <w:rsid w:val="00127172"/>
    <w:rsid w:val="0013105B"/>
    <w:rsid w:val="0013165C"/>
    <w:rsid w:val="0015663F"/>
    <w:rsid w:val="0015675E"/>
    <w:rsid w:val="0017152D"/>
    <w:rsid w:val="001716EF"/>
    <w:rsid w:val="001835CE"/>
    <w:rsid w:val="00184F51"/>
    <w:rsid w:val="001937F8"/>
    <w:rsid w:val="00193E30"/>
    <w:rsid w:val="001B1A27"/>
    <w:rsid w:val="001B2D77"/>
    <w:rsid w:val="001E081F"/>
    <w:rsid w:val="001E25A8"/>
    <w:rsid w:val="001F22BE"/>
    <w:rsid w:val="001F2E0E"/>
    <w:rsid w:val="001F5C9B"/>
    <w:rsid w:val="001F6748"/>
    <w:rsid w:val="001F6978"/>
    <w:rsid w:val="001F7777"/>
    <w:rsid w:val="00203174"/>
    <w:rsid w:val="00216C68"/>
    <w:rsid w:val="002176C5"/>
    <w:rsid w:val="0022161E"/>
    <w:rsid w:val="00222FCA"/>
    <w:rsid w:val="002239FB"/>
    <w:rsid w:val="00232FE4"/>
    <w:rsid w:val="00240234"/>
    <w:rsid w:val="00240664"/>
    <w:rsid w:val="00260632"/>
    <w:rsid w:val="00261E6E"/>
    <w:rsid w:val="0026207A"/>
    <w:rsid w:val="00283ED5"/>
    <w:rsid w:val="00285970"/>
    <w:rsid w:val="002B4F53"/>
    <w:rsid w:val="002B68B2"/>
    <w:rsid w:val="002C5852"/>
    <w:rsid w:val="002E74DF"/>
    <w:rsid w:val="002F607F"/>
    <w:rsid w:val="00307E82"/>
    <w:rsid w:val="00337168"/>
    <w:rsid w:val="00343F22"/>
    <w:rsid w:val="00355C24"/>
    <w:rsid w:val="003761C6"/>
    <w:rsid w:val="00381A6F"/>
    <w:rsid w:val="0038593C"/>
    <w:rsid w:val="003902EA"/>
    <w:rsid w:val="003911F1"/>
    <w:rsid w:val="00394F4A"/>
    <w:rsid w:val="003A260D"/>
    <w:rsid w:val="003A7BC6"/>
    <w:rsid w:val="003B6ABB"/>
    <w:rsid w:val="003C6415"/>
    <w:rsid w:val="003E06E7"/>
    <w:rsid w:val="003E243B"/>
    <w:rsid w:val="003E6826"/>
    <w:rsid w:val="003F3328"/>
    <w:rsid w:val="003F7589"/>
    <w:rsid w:val="00415590"/>
    <w:rsid w:val="00422999"/>
    <w:rsid w:val="0042316E"/>
    <w:rsid w:val="00424EAE"/>
    <w:rsid w:val="00425707"/>
    <w:rsid w:val="004306F4"/>
    <w:rsid w:val="0044156E"/>
    <w:rsid w:val="00464338"/>
    <w:rsid w:val="0046726B"/>
    <w:rsid w:val="004817F6"/>
    <w:rsid w:val="004836EE"/>
    <w:rsid w:val="00497F2D"/>
    <w:rsid w:val="004A4706"/>
    <w:rsid w:val="004A59CF"/>
    <w:rsid w:val="004B3B28"/>
    <w:rsid w:val="004C3C65"/>
    <w:rsid w:val="004C4C3E"/>
    <w:rsid w:val="004E3DAA"/>
    <w:rsid w:val="004F371C"/>
    <w:rsid w:val="004F7687"/>
    <w:rsid w:val="005002CC"/>
    <w:rsid w:val="0050293E"/>
    <w:rsid w:val="00524283"/>
    <w:rsid w:val="0053173E"/>
    <w:rsid w:val="00531ADD"/>
    <w:rsid w:val="00535C43"/>
    <w:rsid w:val="00547885"/>
    <w:rsid w:val="005558DC"/>
    <w:rsid w:val="005616EE"/>
    <w:rsid w:val="00562263"/>
    <w:rsid w:val="005721C2"/>
    <w:rsid w:val="005A1562"/>
    <w:rsid w:val="005A5D9E"/>
    <w:rsid w:val="005A744C"/>
    <w:rsid w:val="005B2F90"/>
    <w:rsid w:val="005B3B6B"/>
    <w:rsid w:val="005B4730"/>
    <w:rsid w:val="005C40AA"/>
    <w:rsid w:val="005F2501"/>
    <w:rsid w:val="005F25F8"/>
    <w:rsid w:val="00601BB9"/>
    <w:rsid w:val="00602193"/>
    <w:rsid w:val="0060420D"/>
    <w:rsid w:val="00607E69"/>
    <w:rsid w:val="00616387"/>
    <w:rsid w:val="00621AC2"/>
    <w:rsid w:val="00637341"/>
    <w:rsid w:val="006534B1"/>
    <w:rsid w:val="006547A0"/>
    <w:rsid w:val="0065491C"/>
    <w:rsid w:val="00673BE0"/>
    <w:rsid w:val="00675A18"/>
    <w:rsid w:val="0069483F"/>
    <w:rsid w:val="00695527"/>
    <w:rsid w:val="006A69CF"/>
    <w:rsid w:val="006A7416"/>
    <w:rsid w:val="006A77CE"/>
    <w:rsid w:val="006A798B"/>
    <w:rsid w:val="006B0DA4"/>
    <w:rsid w:val="006B2B00"/>
    <w:rsid w:val="006B3E0B"/>
    <w:rsid w:val="006B7749"/>
    <w:rsid w:val="006C0239"/>
    <w:rsid w:val="006C10BA"/>
    <w:rsid w:val="006C3BD1"/>
    <w:rsid w:val="006C4154"/>
    <w:rsid w:val="006D18CD"/>
    <w:rsid w:val="006D7371"/>
    <w:rsid w:val="006E37C9"/>
    <w:rsid w:val="006E4667"/>
    <w:rsid w:val="00705F02"/>
    <w:rsid w:val="0071029D"/>
    <w:rsid w:val="007161D6"/>
    <w:rsid w:val="007208E0"/>
    <w:rsid w:val="0072327F"/>
    <w:rsid w:val="00731A1D"/>
    <w:rsid w:val="00731A26"/>
    <w:rsid w:val="00731BF7"/>
    <w:rsid w:val="00735A06"/>
    <w:rsid w:val="00741A2F"/>
    <w:rsid w:val="007502AE"/>
    <w:rsid w:val="007659D7"/>
    <w:rsid w:val="00777622"/>
    <w:rsid w:val="00783485"/>
    <w:rsid w:val="0079560A"/>
    <w:rsid w:val="007A60BC"/>
    <w:rsid w:val="007A648B"/>
    <w:rsid w:val="007C62AC"/>
    <w:rsid w:val="007E254A"/>
    <w:rsid w:val="007E3744"/>
    <w:rsid w:val="007E4C00"/>
    <w:rsid w:val="007F14B6"/>
    <w:rsid w:val="007F17DB"/>
    <w:rsid w:val="008042CA"/>
    <w:rsid w:val="00814E2F"/>
    <w:rsid w:val="00825D12"/>
    <w:rsid w:val="00827145"/>
    <w:rsid w:val="00841DF0"/>
    <w:rsid w:val="0084275E"/>
    <w:rsid w:val="0084764F"/>
    <w:rsid w:val="00847F7F"/>
    <w:rsid w:val="008503EC"/>
    <w:rsid w:val="008506A7"/>
    <w:rsid w:val="0085519D"/>
    <w:rsid w:val="008572B6"/>
    <w:rsid w:val="00865F3C"/>
    <w:rsid w:val="00870089"/>
    <w:rsid w:val="0087217D"/>
    <w:rsid w:val="00876236"/>
    <w:rsid w:val="00876AEF"/>
    <w:rsid w:val="008871B2"/>
    <w:rsid w:val="00892BCD"/>
    <w:rsid w:val="00895F0B"/>
    <w:rsid w:val="00896984"/>
    <w:rsid w:val="008B320E"/>
    <w:rsid w:val="008B3AE7"/>
    <w:rsid w:val="008B7BFA"/>
    <w:rsid w:val="008D6F8A"/>
    <w:rsid w:val="008E457B"/>
    <w:rsid w:val="008F2E55"/>
    <w:rsid w:val="008F64B6"/>
    <w:rsid w:val="00901305"/>
    <w:rsid w:val="00921584"/>
    <w:rsid w:val="00933EFC"/>
    <w:rsid w:val="0094108B"/>
    <w:rsid w:val="00970308"/>
    <w:rsid w:val="009708CC"/>
    <w:rsid w:val="00972008"/>
    <w:rsid w:val="00977A71"/>
    <w:rsid w:val="0098180E"/>
    <w:rsid w:val="00981DA9"/>
    <w:rsid w:val="009876DD"/>
    <w:rsid w:val="0099187A"/>
    <w:rsid w:val="009B19C8"/>
    <w:rsid w:val="009C5997"/>
    <w:rsid w:val="009D1196"/>
    <w:rsid w:val="009D7D9B"/>
    <w:rsid w:val="009E67B6"/>
    <w:rsid w:val="00A04696"/>
    <w:rsid w:val="00A07AA3"/>
    <w:rsid w:val="00A15E13"/>
    <w:rsid w:val="00A2356C"/>
    <w:rsid w:val="00A2527B"/>
    <w:rsid w:val="00A256EC"/>
    <w:rsid w:val="00A57FF0"/>
    <w:rsid w:val="00A770B5"/>
    <w:rsid w:val="00A81E71"/>
    <w:rsid w:val="00A85AAD"/>
    <w:rsid w:val="00A90552"/>
    <w:rsid w:val="00A9505F"/>
    <w:rsid w:val="00AA1525"/>
    <w:rsid w:val="00AA300E"/>
    <w:rsid w:val="00AA3AE1"/>
    <w:rsid w:val="00AA4BC3"/>
    <w:rsid w:val="00AA5929"/>
    <w:rsid w:val="00AB6D58"/>
    <w:rsid w:val="00AB768A"/>
    <w:rsid w:val="00AD2E11"/>
    <w:rsid w:val="00AE4CD8"/>
    <w:rsid w:val="00AF0F78"/>
    <w:rsid w:val="00B0348F"/>
    <w:rsid w:val="00B0601F"/>
    <w:rsid w:val="00B21C2D"/>
    <w:rsid w:val="00B24329"/>
    <w:rsid w:val="00B3010B"/>
    <w:rsid w:val="00B35CB5"/>
    <w:rsid w:val="00B4128A"/>
    <w:rsid w:val="00B538D6"/>
    <w:rsid w:val="00B564E5"/>
    <w:rsid w:val="00B57D41"/>
    <w:rsid w:val="00B61CDC"/>
    <w:rsid w:val="00B64098"/>
    <w:rsid w:val="00BB0BEE"/>
    <w:rsid w:val="00BB1B6A"/>
    <w:rsid w:val="00BC522B"/>
    <w:rsid w:val="00BD4BA8"/>
    <w:rsid w:val="00BD63CE"/>
    <w:rsid w:val="00BE2A32"/>
    <w:rsid w:val="00BF5FB5"/>
    <w:rsid w:val="00C141F1"/>
    <w:rsid w:val="00C16E05"/>
    <w:rsid w:val="00C2774A"/>
    <w:rsid w:val="00C316F3"/>
    <w:rsid w:val="00C325E8"/>
    <w:rsid w:val="00C37DDF"/>
    <w:rsid w:val="00C55245"/>
    <w:rsid w:val="00C57697"/>
    <w:rsid w:val="00C5793E"/>
    <w:rsid w:val="00C618CD"/>
    <w:rsid w:val="00C65A9D"/>
    <w:rsid w:val="00C65D27"/>
    <w:rsid w:val="00C74360"/>
    <w:rsid w:val="00C85F1A"/>
    <w:rsid w:val="00C9173C"/>
    <w:rsid w:val="00CB2860"/>
    <w:rsid w:val="00CB3222"/>
    <w:rsid w:val="00CC4341"/>
    <w:rsid w:val="00CC681D"/>
    <w:rsid w:val="00CD2E4E"/>
    <w:rsid w:val="00CE641F"/>
    <w:rsid w:val="00CF29CB"/>
    <w:rsid w:val="00D1260A"/>
    <w:rsid w:val="00D1524D"/>
    <w:rsid w:val="00D160B4"/>
    <w:rsid w:val="00D25945"/>
    <w:rsid w:val="00D32205"/>
    <w:rsid w:val="00D41D12"/>
    <w:rsid w:val="00D44B86"/>
    <w:rsid w:val="00D477F9"/>
    <w:rsid w:val="00D50824"/>
    <w:rsid w:val="00D611BE"/>
    <w:rsid w:val="00D65707"/>
    <w:rsid w:val="00D660F4"/>
    <w:rsid w:val="00D768B7"/>
    <w:rsid w:val="00D8369F"/>
    <w:rsid w:val="00D93CDC"/>
    <w:rsid w:val="00DA388B"/>
    <w:rsid w:val="00DB6D7B"/>
    <w:rsid w:val="00DC281C"/>
    <w:rsid w:val="00DC5B8C"/>
    <w:rsid w:val="00DD2366"/>
    <w:rsid w:val="00DD525F"/>
    <w:rsid w:val="00DF3C83"/>
    <w:rsid w:val="00E028D4"/>
    <w:rsid w:val="00E1303B"/>
    <w:rsid w:val="00E1430D"/>
    <w:rsid w:val="00E15C89"/>
    <w:rsid w:val="00E22C11"/>
    <w:rsid w:val="00E2479A"/>
    <w:rsid w:val="00E30C68"/>
    <w:rsid w:val="00E41C83"/>
    <w:rsid w:val="00E741AC"/>
    <w:rsid w:val="00E917D8"/>
    <w:rsid w:val="00E93475"/>
    <w:rsid w:val="00EA12E5"/>
    <w:rsid w:val="00EC2202"/>
    <w:rsid w:val="00EF67FF"/>
    <w:rsid w:val="00F11C40"/>
    <w:rsid w:val="00F246C6"/>
    <w:rsid w:val="00F6131D"/>
    <w:rsid w:val="00F66BB0"/>
    <w:rsid w:val="00F67148"/>
    <w:rsid w:val="00F743CA"/>
    <w:rsid w:val="00F841C2"/>
    <w:rsid w:val="00F8456A"/>
    <w:rsid w:val="00F95EC7"/>
    <w:rsid w:val="00FB2266"/>
    <w:rsid w:val="00FC5B4A"/>
    <w:rsid w:val="00FD4E2F"/>
    <w:rsid w:val="00FE30CE"/>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028C"/>
  <w15:chartTrackingRefBased/>
  <w15:docId w15:val="{8B3397F9-3C0A-4219-801D-FEEAB550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2AC"/>
    <w:rPr>
      <w:rFonts w:eastAsiaTheme="majorEastAsia" w:cstheme="majorBidi"/>
      <w:color w:val="272727" w:themeColor="text1" w:themeTint="D8"/>
    </w:rPr>
  </w:style>
  <w:style w:type="paragraph" w:styleId="Title">
    <w:name w:val="Title"/>
    <w:basedOn w:val="Normal"/>
    <w:next w:val="Normal"/>
    <w:link w:val="TitleChar"/>
    <w:uiPriority w:val="10"/>
    <w:qFormat/>
    <w:rsid w:val="007C6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2AC"/>
    <w:pPr>
      <w:spacing w:before="160"/>
      <w:jc w:val="center"/>
    </w:pPr>
    <w:rPr>
      <w:i/>
      <w:iCs/>
      <w:color w:val="404040" w:themeColor="text1" w:themeTint="BF"/>
    </w:rPr>
  </w:style>
  <w:style w:type="character" w:customStyle="1" w:styleId="QuoteChar">
    <w:name w:val="Quote Char"/>
    <w:basedOn w:val="DefaultParagraphFont"/>
    <w:link w:val="Quote"/>
    <w:uiPriority w:val="29"/>
    <w:rsid w:val="007C62AC"/>
    <w:rPr>
      <w:i/>
      <w:iCs/>
      <w:color w:val="404040" w:themeColor="text1" w:themeTint="BF"/>
    </w:rPr>
  </w:style>
  <w:style w:type="paragraph" w:styleId="ListParagraph">
    <w:name w:val="List Paragraph"/>
    <w:basedOn w:val="Normal"/>
    <w:uiPriority w:val="34"/>
    <w:qFormat/>
    <w:rsid w:val="007C62AC"/>
    <w:pPr>
      <w:ind w:left="720"/>
      <w:contextualSpacing/>
    </w:pPr>
  </w:style>
  <w:style w:type="character" w:styleId="IntenseEmphasis">
    <w:name w:val="Intense Emphasis"/>
    <w:basedOn w:val="DefaultParagraphFont"/>
    <w:uiPriority w:val="21"/>
    <w:qFormat/>
    <w:rsid w:val="007C62AC"/>
    <w:rPr>
      <w:i/>
      <w:iCs/>
      <w:color w:val="0F4761" w:themeColor="accent1" w:themeShade="BF"/>
    </w:rPr>
  </w:style>
  <w:style w:type="paragraph" w:styleId="IntenseQuote">
    <w:name w:val="Intense Quote"/>
    <w:basedOn w:val="Normal"/>
    <w:next w:val="Normal"/>
    <w:link w:val="IntenseQuoteChar"/>
    <w:uiPriority w:val="30"/>
    <w:qFormat/>
    <w:rsid w:val="007C6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2AC"/>
    <w:rPr>
      <w:i/>
      <w:iCs/>
      <w:color w:val="0F4761" w:themeColor="accent1" w:themeShade="BF"/>
    </w:rPr>
  </w:style>
  <w:style w:type="character" w:styleId="IntenseReference">
    <w:name w:val="Intense Reference"/>
    <w:basedOn w:val="DefaultParagraphFont"/>
    <w:uiPriority w:val="32"/>
    <w:qFormat/>
    <w:rsid w:val="007C62AC"/>
    <w:rPr>
      <w:b/>
      <w:bCs/>
      <w:smallCaps/>
      <w:color w:val="0F4761" w:themeColor="accent1" w:themeShade="BF"/>
      <w:spacing w:val="5"/>
    </w:rPr>
  </w:style>
  <w:style w:type="paragraph" w:styleId="NoSpacing">
    <w:name w:val="No Spacing"/>
    <w:uiPriority w:val="1"/>
    <w:qFormat/>
    <w:rsid w:val="008871B2"/>
    <w:pPr>
      <w:spacing w:after="0" w:line="240" w:lineRule="auto"/>
    </w:pPr>
  </w:style>
  <w:style w:type="paragraph" w:styleId="Revision">
    <w:name w:val="Revision"/>
    <w:hidden/>
    <w:uiPriority w:val="99"/>
    <w:semiHidden/>
    <w:rsid w:val="00735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C0D78-9652-4117-A8D8-1D73E1B2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Clarke</dc:creator>
  <cp:keywords/>
  <dc:description/>
  <cp:lastModifiedBy>Virginia Clarke</cp:lastModifiedBy>
  <cp:revision>2</cp:revision>
  <cp:lastPrinted>2025-01-22T02:11:00Z</cp:lastPrinted>
  <dcterms:created xsi:type="dcterms:W3CDTF">2025-06-04T02:43:00Z</dcterms:created>
  <dcterms:modified xsi:type="dcterms:W3CDTF">2025-06-04T02:43:00Z</dcterms:modified>
</cp:coreProperties>
</file>