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B7FC5" w14:textId="77777777" w:rsidR="00F26FB3" w:rsidRPr="00F26FB3" w:rsidRDefault="00F26FB3" w:rsidP="00F26FB3">
      <w:pPr>
        <w:spacing w:after="0" w:line="240" w:lineRule="auto"/>
        <w:rPr>
          <w:rFonts w:ascii="Times New Roman" w:eastAsia="Times New Roman" w:hAnsi="Times New Roman" w:cs="Times New Roman"/>
          <w:kern w:val="0"/>
          <w14:ligatures w14:val="none"/>
        </w:rPr>
      </w:pPr>
      <w:r w:rsidRPr="00F26FB3">
        <w:rPr>
          <w:rFonts w:ascii="Helvetica" w:eastAsia="Times New Roman" w:hAnsi="Helvetica" w:cs="Helvetica"/>
          <w:b/>
          <w:bCs/>
          <w:color w:val="333333"/>
          <w:kern w:val="0"/>
          <w:sz w:val="27"/>
          <w:szCs w:val="27"/>
          <w:shd w:val="clear" w:color="auto" w:fill="F2EFE5"/>
          <w14:ligatures w14:val="none"/>
        </w:rPr>
        <w:t>(Cite as: 10 V.S.A. § 6033)</w:t>
      </w:r>
    </w:p>
    <w:p w14:paraId="4EC15FDD" w14:textId="77777777" w:rsidR="00F26FB3" w:rsidRPr="00F26FB3" w:rsidRDefault="00F26FB3" w:rsidP="00F26FB3">
      <w:pPr>
        <w:numPr>
          <w:ilvl w:val="0"/>
          <w:numId w:val="1"/>
        </w:numPr>
        <w:shd w:val="clear" w:color="auto" w:fill="F2EFE5"/>
        <w:spacing w:after="188" w:line="240" w:lineRule="auto"/>
        <w:rPr>
          <w:rFonts w:ascii="Helvetica" w:eastAsia="Times New Roman" w:hAnsi="Helvetica" w:cs="Helvetica"/>
          <w:color w:val="333333"/>
          <w:kern w:val="0"/>
          <w:sz w:val="27"/>
          <w:szCs w:val="27"/>
          <w14:ligatures w14:val="none"/>
        </w:rPr>
      </w:pPr>
      <w:r w:rsidRPr="00F26FB3">
        <w:rPr>
          <w:rFonts w:ascii="Helvetica" w:eastAsia="Times New Roman" w:hAnsi="Helvetica" w:cs="Helvetica"/>
          <w:b/>
          <w:bCs/>
          <w:color w:val="333333"/>
          <w:kern w:val="0"/>
          <w:sz w:val="27"/>
          <w:szCs w:val="27"/>
          <w14:ligatures w14:val="none"/>
        </w:rPr>
        <w:t xml:space="preserve">§ 6033. Regional </w:t>
      </w:r>
      <w:proofErr w:type="gramStart"/>
      <w:r w:rsidRPr="00F26FB3">
        <w:rPr>
          <w:rFonts w:ascii="Helvetica" w:eastAsia="Times New Roman" w:hAnsi="Helvetica" w:cs="Helvetica"/>
          <w:b/>
          <w:bCs/>
          <w:color w:val="333333"/>
          <w:kern w:val="0"/>
          <w:sz w:val="27"/>
          <w:szCs w:val="27"/>
          <w14:ligatures w14:val="none"/>
        </w:rPr>
        <w:t>plan</w:t>
      </w:r>
      <w:proofErr w:type="gramEnd"/>
      <w:r w:rsidRPr="00F26FB3">
        <w:rPr>
          <w:rFonts w:ascii="Helvetica" w:eastAsia="Times New Roman" w:hAnsi="Helvetica" w:cs="Helvetica"/>
          <w:b/>
          <w:bCs/>
          <w:color w:val="333333"/>
          <w:kern w:val="0"/>
          <w:sz w:val="27"/>
          <w:szCs w:val="27"/>
          <w14:ligatures w14:val="none"/>
        </w:rPr>
        <w:t xml:space="preserve"> future land use map review</w:t>
      </w:r>
    </w:p>
    <w:p w14:paraId="6B877D12" w14:textId="77777777" w:rsidR="00F26FB3" w:rsidRPr="00F26FB3" w:rsidRDefault="00F26FB3" w:rsidP="00F26FB3">
      <w:pPr>
        <w:shd w:val="clear" w:color="auto" w:fill="F2EFE5"/>
        <w:spacing w:after="188" w:line="240" w:lineRule="auto"/>
        <w:ind w:left="720"/>
        <w:rPr>
          <w:rFonts w:ascii="Helvetica" w:eastAsia="Times New Roman" w:hAnsi="Helvetica" w:cs="Helvetica"/>
          <w:color w:val="333333"/>
          <w:kern w:val="0"/>
          <w:sz w:val="27"/>
          <w:szCs w:val="27"/>
          <w14:ligatures w14:val="none"/>
        </w:rPr>
      </w:pPr>
      <w:r w:rsidRPr="00F26FB3">
        <w:rPr>
          <w:rFonts w:ascii="Helvetica" w:eastAsia="Times New Roman" w:hAnsi="Helvetica" w:cs="Helvetica"/>
          <w:color w:val="333333"/>
          <w:kern w:val="0"/>
          <w:sz w:val="27"/>
          <w:szCs w:val="27"/>
          <w14:ligatures w14:val="none"/>
        </w:rPr>
        <w:t>(a) The Board shall review requests from regional planning commissions to approve or disapprove portions of future land use maps for the purposes of changing jurisdictional thresholds under this chapter by identifying areas on future land use maps for Tier 1B area status and to approve designations pursuant to 24 V.S.A. chapter 139. The Board may produce guidelines for regional planning commissions seeking Tier 1B area status. If requested by the regional planning commission, the Board shall complete this review concurrently with regional plan approval. A municipality may have multiple noncontiguous areas receive Tier 1B area status. A request for Tier 1B area status made by a regional planning commission separate from regional plan approval shall follow the process set forth in 24 V.S.A. § 4348.</w:t>
      </w:r>
    </w:p>
    <w:p w14:paraId="47D608EF" w14:textId="77777777" w:rsidR="00F26FB3" w:rsidRPr="00F26FB3" w:rsidRDefault="00F26FB3" w:rsidP="00F26FB3">
      <w:pPr>
        <w:shd w:val="clear" w:color="auto" w:fill="F2EFE5"/>
        <w:spacing w:after="188" w:line="240" w:lineRule="auto"/>
        <w:ind w:left="720" w:firstLine="288"/>
        <w:rPr>
          <w:rFonts w:ascii="Helvetica" w:eastAsia="Times New Roman" w:hAnsi="Helvetica" w:cs="Helvetica"/>
          <w:color w:val="333333"/>
          <w:kern w:val="0"/>
          <w:sz w:val="27"/>
          <w:szCs w:val="27"/>
          <w14:ligatures w14:val="none"/>
        </w:rPr>
      </w:pPr>
      <w:r w:rsidRPr="00F26FB3">
        <w:rPr>
          <w:rFonts w:ascii="Helvetica" w:eastAsia="Times New Roman" w:hAnsi="Helvetica" w:cs="Helvetica"/>
          <w:color w:val="333333"/>
          <w:kern w:val="0"/>
          <w:sz w:val="27"/>
          <w:szCs w:val="27"/>
          <w14:ligatures w14:val="none"/>
        </w:rPr>
        <w:t>(b) The Board shall review the portions of future land use maps that include downtowns or village centers, planned growth areas, and village areas to ensure they meet the requirements under 24 V.S.A. §§ 5803 and 5804 for designation as downtown and village centers and neighborhood areas.</w:t>
      </w:r>
    </w:p>
    <w:p w14:paraId="79219A27" w14:textId="77777777" w:rsidR="00F26FB3" w:rsidRPr="00F26FB3" w:rsidRDefault="00F26FB3" w:rsidP="00F26FB3">
      <w:pPr>
        <w:shd w:val="clear" w:color="auto" w:fill="F2EFE5"/>
        <w:spacing w:after="188" w:line="240" w:lineRule="auto"/>
        <w:ind w:left="720" w:firstLine="288"/>
        <w:rPr>
          <w:rFonts w:ascii="Helvetica" w:eastAsia="Times New Roman" w:hAnsi="Helvetica" w:cs="Helvetica"/>
          <w:color w:val="333333"/>
          <w:kern w:val="0"/>
          <w:sz w:val="27"/>
          <w:szCs w:val="27"/>
          <w14:ligatures w14:val="none"/>
        </w:rPr>
      </w:pPr>
      <w:r w:rsidRPr="00F26FB3">
        <w:rPr>
          <w:rFonts w:ascii="Helvetica" w:eastAsia="Times New Roman" w:hAnsi="Helvetica" w:cs="Helvetica"/>
          <w:color w:val="333333"/>
          <w:kern w:val="0"/>
          <w:sz w:val="27"/>
          <w:szCs w:val="27"/>
          <w14:ligatures w14:val="none"/>
        </w:rPr>
        <w:t>(c) To obtain a Tier 1B area status under this section the regional planning commission shall demonstrate to the Board that the municipalities with Tier 1B areas meet the following requirements as included in subdivision 24 V.S.A. § 4348a(a)(12)(C):</w:t>
      </w:r>
    </w:p>
    <w:p w14:paraId="1923C880" w14:textId="77777777" w:rsidR="00F26FB3" w:rsidRPr="00F26FB3" w:rsidRDefault="00F26FB3" w:rsidP="00F26FB3">
      <w:pPr>
        <w:shd w:val="clear" w:color="auto" w:fill="F2EFE5"/>
        <w:spacing w:after="188" w:line="240" w:lineRule="auto"/>
        <w:ind w:left="720" w:firstLine="576"/>
        <w:rPr>
          <w:rFonts w:ascii="Helvetica" w:eastAsia="Times New Roman" w:hAnsi="Helvetica" w:cs="Helvetica"/>
          <w:color w:val="333333"/>
          <w:kern w:val="0"/>
          <w:sz w:val="27"/>
          <w:szCs w:val="27"/>
          <w14:ligatures w14:val="none"/>
        </w:rPr>
      </w:pPr>
      <w:r w:rsidRPr="00F26FB3">
        <w:rPr>
          <w:rFonts w:ascii="Helvetica" w:eastAsia="Times New Roman" w:hAnsi="Helvetica" w:cs="Helvetica"/>
          <w:color w:val="333333"/>
          <w:kern w:val="0"/>
          <w:sz w:val="27"/>
          <w:szCs w:val="27"/>
          <w14:ligatures w14:val="none"/>
        </w:rPr>
        <w:t>(1) The municipality has requested to have the area mapped for Tier 1B.</w:t>
      </w:r>
    </w:p>
    <w:p w14:paraId="0CCF9392" w14:textId="77777777" w:rsidR="00F26FB3" w:rsidRPr="00F26FB3" w:rsidRDefault="00F26FB3" w:rsidP="00F26FB3">
      <w:pPr>
        <w:shd w:val="clear" w:color="auto" w:fill="F2EFE5"/>
        <w:spacing w:after="188" w:line="240" w:lineRule="auto"/>
        <w:ind w:left="720" w:firstLine="576"/>
        <w:rPr>
          <w:rFonts w:ascii="Helvetica" w:eastAsia="Times New Roman" w:hAnsi="Helvetica" w:cs="Helvetica"/>
          <w:color w:val="333333"/>
          <w:kern w:val="0"/>
          <w:sz w:val="27"/>
          <w:szCs w:val="27"/>
          <w14:ligatures w14:val="none"/>
        </w:rPr>
      </w:pPr>
      <w:r w:rsidRPr="00F26FB3">
        <w:rPr>
          <w:rFonts w:ascii="Helvetica" w:eastAsia="Times New Roman" w:hAnsi="Helvetica" w:cs="Helvetica"/>
          <w:color w:val="333333"/>
          <w:kern w:val="0"/>
          <w:sz w:val="27"/>
          <w:szCs w:val="27"/>
          <w14:ligatures w14:val="none"/>
        </w:rPr>
        <w:t>(2) The municipality has a duly adopted and approved plan and a planning process that is confirmed in accordance with 24 V.S.A. § 4350.</w:t>
      </w:r>
    </w:p>
    <w:p w14:paraId="125CFCF1" w14:textId="77777777" w:rsidR="00F26FB3" w:rsidRPr="00F26FB3" w:rsidRDefault="00F26FB3" w:rsidP="00F26FB3">
      <w:pPr>
        <w:shd w:val="clear" w:color="auto" w:fill="F2EFE5"/>
        <w:spacing w:after="188" w:line="240" w:lineRule="auto"/>
        <w:ind w:left="720" w:firstLine="576"/>
        <w:rPr>
          <w:rFonts w:ascii="Helvetica" w:eastAsia="Times New Roman" w:hAnsi="Helvetica" w:cs="Helvetica"/>
          <w:color w:val="333333"/>
          <w:kern w:val="0"/>
          <w:sz w:val="27"/>
          <w:szCs w:val="27"/>
          <w14:ligatures w14:val="none"/>
        </w:rPr>
      </w:pPr>
      <w:r w:rsidRPr="00F26FB3">
        <w:rPr>
          <w:rFonts w:ascii="Helvetica" w:eastAsia="Times New Roman" w:hAnsi="Helvetica" w:cs="Helvetica"/>
          <w:color w:val="333333"/>
          <w:kern w:val="0"/>
          <w:sz w:val="27"/>
          <w:szCs w:val="27"/>
          <w14:ligatures w14:val="none"/>
        </w:rPr>
        <w:t>(3) The municipality has adopted permanent zoning and subdivision bylaws in accordance with 24 V.S.A. §§ 4414, 4418, and 4442.</w:t>
      </w:r>
    </w:p>
    <w:p w14:paraId="1460662C" w14:textId="77777777" w:rsidR="00F26FB3" w:rsidRPr="00F26FB3" w:rsidRDefault="00F26FB3" w:rsidP="00F26FB3">
      <w:pPr>
        <w:shd w:val="clear" w:color="auto" w:fill="F2EFE5"/>
        <w:spacing w:after="188" w:line="240" w:lineRule="auto"/>
        <w:ind w:left="720" w:firstLine="576"/>
        <w:rPr>
          <w:rFonts w:ascii="Helvetica" w:eastAsia="Times New Roman" w:hAnsi="Helvetica" w:cs="Helvetica"/>
          <w:color w:val="333333"/>
          <w:kern w:val="0"/>
          <w:sz w:val="27"/>
          <w:szCs w:val="27"/>
          <w14:ligatures w14:val="none"/>
        </w:rPr>
      </w:pPr>
      <w:r w:rsidRPr="00F26FB3">
        <w:rPr>
          <w:rFonts w:ascii="Helvetica" w:eastAsia="Times New Roman" w:hAnsi="Helvetica" w:cs="Helvetica"/>
          <w:color w:val="333333"/>
          <w:kern w:val="0"/>
          <w:sz w:val="27"/>
          <w:szCs w:val="27"/>
          <w14:ligatures w14:val="none"/>
        </w:rPr>
        <w:t xml:space="preserve">(4) The area excludes identified flood hazard and fluvial erosion areas, except those areas containing preexisting development in areas suitable for infill development as defined in Section 29-201 of the Vermont Flood Hazard Area and River Corridor Rule unless the municipality has adopted flood hazard and river corridor bylaws applicable to the entire municipality that are consistent with the </w:t>
      </w:r>
      <w:r w:rsidRPr="00F26FB3">
        <w:rPr>
          <w:rFonts w:ascii="Helvetica" w:eastAsia="Times New Roman" w:hAnsi="Helvetica" w:cs="Helvetica"/>
          <w:color w:val="333333"/>
          <w:kern w:val="0"/>
          <w:sz w:val="27"/>
          <w:szCs w:val="27"/>
          <w14:ligatures w14:val="none"/>
        </w:rPr>
        <w:lastRenderedPageBreak/>
        <w:t>standards established pursuant to subsection 755(b) of this title (flood hazard) and subsection 1428(b) of this title (river corridor).</w:t>
      </w:r>
    </w:p>
    <w:p w14:paraId="513C5770" w14:textId="77777777" w:rsidR="00F26FB3" w:rsidRPr="00F26FB3" w:rsidRDefault="00F26FB3" w:rsidP="00F26FB3">
      <w:pPr>
        <w:shd w:val="clear" w:color="auto" w:fill="F2EFE5"/>
        <w:spacing w:after="188" w:line="240" w:lineRule="auto"/>
        <w:ind w:left="720" w:firstLine="576"/>
        <w:rPr>
          <w:rFonts w:ascii="Helvetica" w:eastAsia="Times New Roman" w:hAnsi="Helvetica" w:cs="Helvetica"/>
          <w:color w:val="333333"/>
          <w:kern w:val="0"/>
          <w:sz w:val="27"/>
          <w:szCs w:val="27"/>
          <w14:ligatures w14:val="none"/>
        </w:rPr>
      </w:pPr>
      <w:r w:rsidRPr="00F26FB3">
        <w:rPr>
          <w:rFonts w:ascii="Helvetica" w:eastAsia="Times New Roman" w:hAnsi="Helvetica" w:cs="Helvetica"/>
          <w:color w:val="333333"/>
          <w:kern w:val="0"/>
          <w:sz w:val="27"/>
          <w:szCs w:val="27"/>
          <w14:ligatures w14:val="none"/>
        </w:rPr>
        <w:t>(5) The municipality has water supply, wastewater infrastructure, or soils that can accommodate a community system for compact housing development in the area proposed for Tier 1B.</w:t>
      </w:r>
    </w:p>
    <w:p w14:paraId="12F33909" w14:textId="77777777" w:rsidR="00F26FB3" w:rsidRPr="00F26FB3" w:rsidRDefault="00F26FB3" w:rsidP="00F26FB3">
      <w:pPr>
        <w:shd w:val="clear" w:color="auto" w:fill="F2EFE5"/>
        <w:spacing w:after="188" w:line="240" w:lineRule="auto"/>
        <w:ind w:left="720" w:firstLine="576"/>
        <w:rPr>
          <w:rFonts w:ascii="Helvetica" w:eastAsia="Times New Roman" w:hAnsi="Helvetica" w:cs="Helvetica"/>
          <w:color w:val="333333"/>
          <w:kern w:val="0"/>
          <w:sz w:val="27"/>
          <w:szCs w:val="27"/>
          <w14:ligatures w14:val="none"/>
        </w:rPr>
      </w:pPr>
      <w:r w:rsidRPr="00F26FB3">
        <w:rPr>
          <w:rFonts w:ascii="Helvetica" w:eastAsia="Times New Roman" w:hAnsi="Helvetica" w:cs="Helvetica"/>
          <w:color w:val="333333"/>
          <w:kern w:val="0"/>
          <w:sz w:val="27"/>
          <w:szCs w:val="27"/>
          <w14:ligatures w14:val="none"/>
        </w:rPr>
        <w:t>(6) The municipality has municipal staff, municipal officials, or contracted capacity adequate to support development review and zoning administration in the Tier 1B area. (Added 2023, No. 181 (Adj. Sess.), § 27, eff. June 17, 2024.)</w:t>
      </w:r>
    </w:p>
    <w:p w14:paraId="106AB45E" w14:textId="77777777" w:rsidR="00B02B81" w:rsidRDefault="00B02B81"/>
    <w:sectPr w:rsidR="00B02B8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CD809" w14:textId="77777777" w:rsidR="00F26FB3" w:rsidRDefault="00F26FB3" w:rsidP="00F26FB3">
      <w:pPr>
        <w:spacing w:after="0" w:line="240" w:lineRule="auto"/>
      </w:pPr>
      <w:r>
        <w:separator/>
      </w:r>
    </w:p>
  </w:endnote>
  <w:endnote w:type="continuationSeparator" w:id="0">
    <w:p w14:paraId="54C2911A" w14:textId="77777777" w:rsidR="00F26FB3" w:rsidRDefault="00F26FB3" w:rsidP="00F26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2ADF2" w14:textId="77777777" w:rsidR="00F26FB3" w:rsidRDefault="00F26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D0A16" w14:textId="77777777" w:rsidR="00F26FB3" w:rsidRDefault="00F26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D912D" w14:textId="77777777" w:rsidR="00F26FB3" w:rsidRDefault="00F26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06CB4" w14:textId="77777777" w:rsidR="00F26FB3" w:rsidRDefault="00F26FB3" w:rsidP="00F26FB3">
      <w:pPr>
        <w:spacing w:after="0" w:line="240" w:lineRule="auto"/>
      </w:pPr>
      <w:r>
        <w:separator/>
      </w:r>
    </w:p>
  </w:footnote>
  <w:footnote w:type="continuationSeparator" w:id="0">
    <w:p w14:paraId="51691EAF" w14:textId="77777777" w:rsidR="00F26FB3" w:rsidRDefault="00F26FB3" w:rsidP="00F26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88B20" w14:textId="77777777" w:rsidR="00F26FB3" w:rsidRDefault="00F26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D0CC0" w14:textId="5CCD0E4E" w:rsidR="00F26FB3" w:rsidRPr="00F26FB3" w:rsidRDefault="00F26FB3">
    <w:pPr>
      <w:pStyle w:val="Header"/>
      <w:rPr>
        <w:b/>
        <w:bCs/>
        <w:sz w:val="48"/>
        <w:szCs w:val="48"/>
      </w:rPr>
    </w:pPr>
    <w:r w:rsidRPr="00F26FB3">
      <w:rPr>
        <w:b/>
        <w:bCs/>
        <w:sz w:val="48"/>
        <w:szCs w:val="48"/>
      </w:rPr>
      <w:t>10 VSA § 6033 Criteria for Tier 1B status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6ACC7" w14:textId="77777777" w:rsidR="00F26FB3" w:rsidRDefault="00F26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232E"/>
    <w:multiLevelType w:val="multilevel"/>
    <w:tmpl w:val="855A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275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FB3"/>
    <w:rsid w:val="000C476A"/>
    <w:rsid w:val="004E0899"/>
    <w:rsid w:val="007B2468"/>
    <w:rsid w:val="00821D15"/>
    <w:rsid w:val="00B02B81"/>
    <w:rsid w:val="00F26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AEBF60"/>
  <w15:chartTrackingRefBased/>
  <w15:docId w15:val="{48A38887-CB28-4229-B8F5-B1170913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6F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6F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6F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6F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6F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6F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6F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6F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6F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F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6F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6F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6F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6F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6F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6F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6F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6FB3"/>
    <w:rPr>
      <w:rFonts w:eastAsiaTheme="majorEastAsia" w:cstheme="majorBidi"/>
      <w:color w:val="272727" w:themeColor="text1" w:themeTint="D8"/>
    </w:rPr>
  </w:style>
  <w:style w:type="paragraph" w:styleId="Title">
    <w:name w:val="Title"/>
    <w:basedOn w:val="Normal"/>
    <w:next w:val="Normal"/>
    <w:link w:val="TitleChar"/>
    <w:uiPriority w:val="10"/>
    <w:qFormat/>
    <w:rsid w:val="00F26F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6F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6F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6F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6FB3"/>
    <w:pPr>
      <w:spacing w:before="160"/>
      <w:jc w:val="center"/>
    </w:pPr>
    <w:rPr>
      <w:i/>
      <w:iCs/>
      <w:color w:val="404040" w:themeColor="text1" w:themeTint="BF"/>
    </w:rPr>
  </w:style>
  <w:style w:type="character" w:customStyle="1" w:styleId="QuoteChar">
    <w:name w:val="Quote Char"/>
    <w:basedOn w:val="DefaultParagraphFont"/>
    <w:link w:val="Quote"/>
    <w:uiPriority w:val="29"/>
    <w:rsid w:val="00F26FB3"/>
    <w:rPr>
      <w:i/>
      <w:iCs/>
      <w:color w:val="404040" w:themeColor="text1" w:themeTint="BF"/>
    </w:rPr>
  </w:style>
  <w:style w:type="paragraph" w:styleId="ListParagraph">
    <w:name w:val="List Paragraph"/>
    <w:basedOn w:val="Normal"/>
    <w:uiPriority w:val="34"/>
    <w:qFormat/>
    <w:rsid w:val="00F26FB3"/>
    <w:pPr>
      <w:ind w:left="720"/>
      <w:contextualSpacing/>
    </w:pPr>
  </w:style>
  <w:style w:type="character" w:styleId="IntenseEmphasis">
    <w:name w:val="Intense Emphasis"/>
    <w:basedOn w:val="DefaultParagraphFont"/>
    <w:uiPriority w:val="21"/>
    <w:qFormat/>
    <w:rsid w:val="00F26FB3"/>
    <w:rPr>
      <w:i/>
      <w:iCs/>
      <w:color w:val="0F4761" w:themeColor="accent1" w:themeShade="BF"/>
    </w:rPr>
  </w:style>
  <w:style w:type="paragraph" w:styleId="IntenseQuote">
    <w:name w:val="Intense Quote"/>
    <w:basedOn w:val="Normal"/>
    <w:next w:val="Normal"/>
    <w:link w:val="IntenseQuoteChar"/>
    <w:uiPriority w:val="30"/>
    <w:qFormat/>
    <w:rsid w:val="00F26F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6FB3"/>
    <w:rPr>
      <w:i/>
      <w:iCs/>
      <w:color w:val="0F4761" w:themeColor="accent1" w:themeShade="BF"/>
    </w:rPr>
  </w:style>
  <w:style w:type="character" w:styleId="IntenseReference">
    <w:name w:val="Intense Reference"/>
    <w:basedOn w:val="DefaultParagraphFont"/>
    <w:uiPriority w:val="32"/>
    <w:qFormat/>
    <w:rsid w:val="00F26FB3"/>
    <w:rPr>
      <w:b/>
      <w:bCs/>
      <w:smallCaps/>
      <w:color w:val="0F4761" w:themeColor="accent1" w:themeShade="BF"/>
      <w:spacing w:val="5"/>
    </w:rPr>
  </w:style>
  <w:style w:type="paragraph" w:styleId="Header">
    <w:name w:val="header"/>
    <w:basedOn w:val="Normal"/>
    <w:link w:val="HeaderChar"/>
    <w:uiPriority w:val="99"/>
    <w:unhideWhenUsed/>
    <w:rsid w:val="00F26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FB3"/>
  </w:style>
  <w:style w:type="paragraph" w:styleId="Footer">
    <w:name w:val="footer"/>
    <w:basedOn w:val="Normal"/>
    <w:link w:val="FooterChar"/>
    <w:uiPriority w:val="99"/>
    <w:unhideWhenUsed/>
    <w:rsid w:val="00F26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603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Oborne</dc:creator>
  <cp:keywords/>
  <dc:description/>
  <cp:lastModifiedBy>Keith Oborne</cp:lastModifiedBy>
  <cp:revision>1</cp:revision>
  <dcterms:created xsi:type="dcterms:W3CDTF">2025-04-16T22:36:00Z</dcterms:created>
  <dcterms:modified xsi:type="dcterms:W3CDTF">2025-04-16T22:38:00Z</dcterms:modified>
</cp:coreProperties>
</file>