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7F2D" w14:textId="77777777" w:rsidR="00377535" w:rsidRDefault="00EF017A">
      <w:pPr>
        <w:spacing w:after="148"/>
        <w:ind w:left="-5"/>
      </w:pPr>
      <w:r>
        <w:t xml:space="preserve">6.14 Residential </w:t>
      </w:r>
      <w:proofErr w:type="gramStart"/>
      <w:r>
        <w:t>density  DRAFT</w:t>
      </w:r>
      <w:proofErr w:type="gramEnd"/>
      <w:r>
        <w:t xml:space="preserve">  5.1.24</w:t>
      </w:r>
      <w:r>
        <w:t xml:space="preserve"> </w:t>
      </w:r>
    </w:p>
    <w:p w14:paraId="4D43B558" w14:textId="77777777" w:rsidR="00377535" w:rsidRDefault="00EF017A">
      <w:pPr>
        <w:spacing w:after="136" w:line="259" w:lineRule="auto"/>
        <w:ind w:left="0" w:firstLine="0"/>
      </w:pPr>
      <w:r>
        <w:rPr>
          <w:color w:val="C00000"/>
        </w:rPr>
        <w:t xml:space="preserve"> </w:t>
      </w:r>
    </w:p>
    <w:p w14:paraId="3990C7A9" w14:textId="77777777" w:rsidR="00377535" w:rsidRDefault="00EF017A">
      <w:pPr>
        <w:pStyle w:val="Heading1"/>
      </w:pPr>
      <w:r>
        <w:t xml:space="preserve">6.14. Residential density </w:t>
      </w:r>
      <w:r>
        <w:t xml:space="preserve"> </w:t>
      </w:r>
    </w:p>
    <w:p w14:paraId="02487E4F" w14:textId="639F679F" w:rsidR="00377535" w:rsidRDefault="00EF017A">
      <w:pPr>
        <w:spacing w:after="152"/>
        <w:ind w:left="-5"/>
      </w:pPr>
      <w:r>
        <w:rPr>
          <w:b/>
        </w:rPr>
        <w:t xml:space="preserve"> 6.14.1</w:t>
      </w:r>
      <w:r>
        <w:t xml:space="preserve"> </w:t>
      </w:r>
      <w:r>
        <w:rPr>
          <w:b/>
        </w:rPr>
        <w:t>Base</w:t>
      </w:r>
      <w:r>
        <w:t xml:space="preserve"> </w:t>
      </w:r>
      <w:r>
        <w:rPr>
          <w:b/>
        </w:rPr>
        <w:t>residential density,</w:t>
      </w:r>
      <w:r>
        <w:t xml:space="preserve"> </w:t>
      </w:r>
      <w:r>
        <w:t xml:space="preserve">defined as the maximum number of dwelling units per unit of area, is provided in a separate subsection for each zoning district that allows residential uses.  Some zoning districts may allow for </w:t>
      </w:r>
      <w:r>
        <w:rPr>
          <w:b/>
        </w:rPr>
        <w:t xml:space="preserve">residential density bonuses </w:t>
      </w:r>
      <w:r>
        <w:t>(see Section 6.15)</w:t>
      </w:r>
      <w:r>
        <w:rPr>
          <w:b/>
        </w:rPr>
        <w:t xml:space="preserve">, </w:t>
      </w:r>
      <w:r>
        <w:t xml:space="preserve">which may be added to the base residential density if listed conditions are met, with a limit on the </w:t>
      </w:r>
      <w:r>
        <w:rPr>
          <w:b/>
        </w:rPr>
        <w:t xml:space="preserve">total residential density </w:t>
      </w:r>
      <w:r>
        <w:t xml:space="preserve">(base density plus bonus density) </w:t>
      </w:r>
      <w:r>
        <w:t xml:space="preserve">in districts that allow density bonus units. </w:t>
      </w:r>
      <w:r>
        <w:t xml:space="preserve"> </w:t>
      </w:r>
    </w:p>
    <w:p w14:paraId="32223CFF" w14:textId="77777777" w:rsidR="00377535" w:rsidRDefault="00EF017A">
      <w:pPr>
        <w:spacing w:after="179"/>
        <w:ind w:left="-5"/>
      </w:pPr>
      <w:r>
        <w:rPr>
          <w:b/>
        </w:rPr>
        <w:t xml:space="preserve">6.14.2 </w:t>
      </w:r>
      <w:r>
        <w:t>Calculations of residential density shall be as follows:</w:t>
      </w:r>
      <w:r>
        <w:t xml:space="preserve"> </w:t>
      </w:r>
    </w:p>
    <w:p w14:paraId="668AC121" w14:textId="77777777" w:rsidR="00377535" w:rsidRDefault="00EF017A">
      <w:pPr>
        <w:numPr>
          <w:ilvl w:val="0"/>
          <w:numId w:val="1"/>
        </w:numPr>
        <w:ind w:hanging="449"/>
      </w:pPr>
      <w:r>
        <w:t xml:space="preserve">residential density shall be expressed as a number of “dwelling units per acre of </w:t>
      </w:r>
      <w:r>
        <w:rPr>
          <w:b/>
        </w:rPr>
        <w:t xml:space="preserve"> </w:t>
      </w:r>
    </w:p>
    <w:p w14:paraId="741FEC32" w14:textId="77777777" w:rsidR="00377535" w:rsidRDefault="00EF017A">
      <w:pPr>
        <w:ind w:left="-5" w:right="649"/>
      </w:pPr>
      <w:r>
        <w:t xml:space="preserve">                   land in a parcel” if the amount of land required for 1 dwelling unit is 1 A or more; and</w:t>
      </w:r>
      <w:r>
        <w:t xml:space="preserve"> </w:t>
      </w:r>
      <w:r>
        <w:t xml:space="preserve">               </w:t>
      </w:r>
      <w:proofErr w:type="gramStart"/>
      <w:r>
        <w:t xml:space="preserve">   “</w:t>
      </w:r>
      <w:proofErr w:type="gramEnd"/>
      <w:r>
        <w:t xml:space="preserve"> a dwelling unit shall require  ____________square feet of land” if the amount of land</w:t>
      </w:r>
      <w:r>
        <w:t xml:space="preserve"> </w:t>
      </w:r>
      <w:r>
        <w:t xml:space="preserve">                   required for 1 dwelling is less than 1 A (43,560sf)</w:t>
      </w:r>
      <w:r>
        <w:t xml:space="preserve"> </w:t>
      </w:r>
    </w:p>
    <w:p w14:paraId="07B538DF" w14:textId="77777777" w:rsidR="00377535" w:rsidRDefault="00EF017A">
      <w:pPr>
        <w:spacing w:after="0" w:line="259" w:lineRule="auto"/>
        <w:ind w:left="991" w:firstLine="0"/>
      </w:pPr>
      <w:r>
        <w:t xml:space="preserve"> </w:t>
      </w:r>
    </w:p>
    <w:p w14:paraId="4E537C7B" w14:textId="75572FFA" w:rsidR="00377535" w:rsidRDefault="00EF017A">
      <w:pPr>
        <w:numPr>
          <w:ilvl w:val="0"/>
          <w:numId w:val="1"/>
        </w:numPr>
        <w:ind w:hanging="449"/>
      </w:pPr>
      <w:r>
        <w:t xml:space="preserve">one single-family home on a lot, or one single-family home plus an ADU on a lot, </w:t>
      </w:r>
      <w:r>
        <w:t>shall count</w:t>
      </w:r>
      <w:r>
        <w:t xml:space="preserve"> </w:t>
      </w:r>
      <w:r>
        <w:t xml:space="preserve">      as 1 dwelling unit. </w:t>
      </w:r>
      <w:r>
        <w:t xml:space="preserve"> </w:t>
      </w:r>
    </w:p>
    <w:p w14:paraId="73DB60BC" w14:textId="77777777" w:rsidR="00377535" w:rsidRDefault="00EF017A">
      <w:pPr>
        <w:spacing w:after="0" w:line="259" w:lineRule="auto"/>
        <w:ind w:left="991" w:firstLine="0"/>
      </w:pPr>
      <w:r>
        <w:rPr>
          <w:b/>
        </w:rPr>
        <w:t xml:space="preserve"> </w:t>
      </w:r>
      <w:r>
        <w:t xml:space="preserve"> </w:t>
      </w:r>
    </w:p>
    <w:p w14:paraId="421AF546" w14:textId="77777777" w:rsidR="00377535" w:rsidRDefault="00EF017A">
      <w:pPr>
        <w:numPr>
          <w:ilvl w:val="0"/>
          <w:numId w:val="1"/>
        </w:numPr>
        <w:ind w:hanging="449"/>
      </w:pPr>
      <w:r>
        <w:t xml:space="preserve">each dwelling unit in </w:t>
      </w:r>
      <w:proofErr w:type="gramStart"/>
      <w:r>
        <w:t>a  duplex</w:t>
      </w:r>
      <w:proofErr w:type="gramEnd"/>
      <w:r>
        <w:t xml:space="preserve"> or multifamily dwelling shall count as 1 dwelling unit</w:t>
      </w:r>
      <w:r>
        <w:t xml:space="preserve"> </w:t>
      </w:r>
    </w:p>
    <w:p w14:paraId="1F404457" w14:textId="77777777" w:rsidR="00377535" w:rsidRDefault="00EF017A">
      <w:pPr>
        <w:spacing w:after="12" w:line="259" w:lineRule="auto"/>
        <w:ind w:left="991" w:firstLine="0"/>
      </w:pPr>
      <w:r>
        <w:rPr>
          <w:b/>
        </w:rPr>
        <w:t xml:space="preserve"> </w:t>
      </w:r>
      <w:r>
        <w:t xml:space="preserve"> </w:t>
      </w:r>
    </w:p>
    <w:p w14:paraId="7F8A8323" w14:textId="77777777" w:rsidR="00377535" w:rsidRDefault="00EF017A">
      <w:pPr>
        <w:ind w:left="991" w:hanging="360"/>
      </w:pPr>
      <w:r>
        <w:t>b.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 </w:t>
      </w:r>
      <w:r>
        <w:t>two single-family dwellings on a single lot shall count as 2 dwelling units.  If 2 single-</w:t>
      </w:r>
      <w:proofErr w:type="gramStart"/>
      <w:r>
        <w:t>family  dwellings</w:t>
      </w:r>
      <w:proofErr w:type="gramEnd"/>
      <w:r>
        <w:t xml:space="preserve"> are permitted on a lot, each dwelling is permitted an ADU as long as the maximum total residential density is not exceeded.</w:t>
      </w:r>
      <w:r>
        <w:t xml:space="preserve"> </w:t>
      </w:r>
    </w:p>
    <w:p w14:paraId="7FD5C521" w14:textId="77777777" w:rsidR="00377535" w:rsidRDefault="00EF017A">
      <w:pPr>
        <w:spacing w:after="0" w:line="259" w:lineRule="auto"/>
        <w:ind w:left="991" w:firstLine="0"/>
      </w:pPr>
      <w:r>
        <w:t xml:space="preserve"> </w:t>
      </w:r>
    </w:p>
    <w:p w14:paraId="46F88716" w14:textId="77777777" w:rsidR="00377535" w:rsidRDefault="00EF017A">
      <w:pPr>
        <w:numPr>
          <w:ilvl w:val="0"/>
          <w:numId w:val="2"/>
        </w:numPr>
        <w:ind w:hanging="372"/>
      </w:pPr>
      <w:r>
        <w:t>a “group home” shall count as 1 dwelling unit</w:t>
      </w:r>
      <w:r>
        <w:t xml:space="preserve"> </w:t>
      </w:r>
    </w:p>
    <w:p w14:paraId="476339D3" w14:textId="77777777" w:rsidR="00377535" w:rsidRDefault="00EF017A">
      <w:pPr>
        <w:spacing w:after="0" w:line="259" w:lineRule="auto"/>
        <w:ind w:left="991" w:firstLine="0"/>
      </w:pPr>
      <w:r>
        <w:t xml:space="preserve"> </w:t>
      </w:r>
    </w:p>
    <w:p w14:paraId="44AE1D88" w14:textId="77777777" w:rsidR="00377535" w:rsidRDefault="00EF017A">
      <w:pPr>
        <w:numPr>
          <w:ilvl w:val="0"/>
          <w:numId w:val="2"/>
        </w:numPr>
        <w:ind w:hanging="372"/>
      </w:pPr>
      <w:r>
        <w:t>an “elder care facility</w:t>
      </w:r>
      <w:proofErr w:type="gramStart"/>
      <w:r>
        <w:t xml:space="preserve">,”  </w:t>
      </w:r>
      <w:r>
        <w:t>“</w:t>
      </w:r>
      <w:proofErr w:type="gramEnd"/>
      <w:r>
        <w:t>supported housing” or “retirement community” residential use shall</w:t>
      </w:r>
      <w:r>
        <w:t xml:space="preserve"> </w:t>
      </w:r>
      <w:r>
        <w:t xml:space="preserve">                    count as 1 dwelling unit for each 8 residents.</w:t>
      </w:r>
      <w:r>
        <w:t xml:space="preserve"> </w:t>
      </w:r>
    </w:p>
    <w:p w14:paraId="66AFC7FD" w14:textId="77777777" w:rsidR="00377535" w:rsidRDefault="00EF017A">
      <w:pPr>
        <w:spacing w:after="0" w:line="259" w:lineRule="auto"/>
        <w:ind w:left="0" w:firstLine="0"/>
      </w:pPr>
      <w:r>
        <w:t xml:space="preserve">              </w:t>
      </w:r>
      <w:r>
        <w:t xml:space="preserve"> </w:t>
      </w:r>
    </w:p>
    <w:p w14:paraId="00983019" w14:textId="77777777" w:rsidR="00377535" w:rsidRDefault="00EF017A">
      <w:pPr>
        <w:numPr>
          <w:ilvl w:val="0"/>
          <w:numId w:val="2"/>
        </w:numPr>
        <w:ind w:hanging="372"/>
      </w:pPr>
      <w:r>
        <w:t xml:space="preserve">emergency shelters, hotels, </w:t>
      </w:r>
      <w:proofErr w:type="gramStart"/>
      <w:r>
        <w:t>inns,  and</w:t>
      </w:r>
      <w:proofErr w:type="gramEnd"/>
      <w:r>
        <w:t xml:space="preserve"> bed and breakfasts,  shall not be subject to density</w:t>
      </w:r>
      <w:r>
        <w:t xml:space="preserve">  </w:t>
      </w:r>
      <w:r>
        <w:tab/>
      </w:r>
      <w:r>
        <w:t xml:space="preserve">    requirements.</w:t>
      </w:r>
      <w:r>
        <w:t xml:space="preserve"> </w:t>
      </w:r>
    </w:p>
    <w:p w14:paraId="6979D3DF" w14:textId="77777777" w:rsidR="00377535" w:rsidRDefault="00EF017A">
      <w:pPr>
        <w:spacing w:after="0" w:line="259" w:lineRule="auto"/>
        <w:ind w:left="576" w:firstLine="0"/>
      </w:pPr>
      <w:r>
        <w:t xml:space="preserve"> </w:t>
      </w:r>
      <w:r>
        <w:t xml:space="preserve"> </w:t>
      </w:r>
    </w:p>
    <w:p w14:paraId="01C1F2F9" w14:textId="77777777" w:rsidR="00377535" w:rsidRDefault="00EF017A">
      <w:pPr>
        <w:numPr>
          <w:ilvl w:val="0"/>
          <w:numId w:val="2"/>
        </w:numPr>
        <w:ind w:hanging="372"/>
      </w:pPr>
      <w:proofErr w:type="gramStart"/>
      <w:r>
        <w:t>only  single</w:t>
      </w:r>
      <w:proofErr w:type="gramEnd"/>
      <w:r>
        <w:t xml:space="preserve">-family dwellings shall be permitted accessory dwelling units – duplexes or </w:t>
      </w:r>
      <w:r>
        <w:t xml:space="preserve"> </w:t>
      </w:r>
      <w:r>
        <w:t xml:space="preserve">        multifamily dwellings shall not  be permitted accessory dwelling units  </w:t>
      </w:r>
      <w:r>
        <w:t xml:space="preserve"> </w:t>
      </w:r>
    </w:p>
    <w:p w14:paraId="0892FB0D" w14:textId="77777777" w:rsidR="00377535" w:rsidRDefault="00EF017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9B5C4DF" w14:textId="77777777" w:rsidR="00377535" w:rsidRDefault="00EF017A">
      <w:pPr>
        <w:spacing w:after="0" w:line="259" w:lineRule="auto"/>
        <w:ind w:left="0" w:firstLine="0"/>
      </w:pPr>
      <w:r>
        <w:t xml:space="preserve"> </w:t>
      </w:r>
    </w:p>
    <w:p w14:paraId="1D4E4A63" w14:textId="77777777" w:rsidR="00377535" w:rsidRDefault="00EF017A">
      <w:pPr>
        <w:spacing w:after="9"/>
        <w:ind w:left="-5"/>
      </w:pPr>
      <w:r>
        <w:t xml:space="preserve"> </w:t>
      </w:r>
      <w:r>
        <w:rPr>
          <w:i/>
        </w:rPr>
        <w:t xml:space="preserve">Proposed </w:t>
      </w:r>
      <w:proofErr w:type="gramStart"/>
      <w:r>
        <w:rPr>
          <w:b/>
          <w:i/>
        </w:rPr>
        <w:t xml:space="preserve">Definitions </w:t>
      </w:r>
      <w:r>
        <w:rPr>
          <w:i/>
        </w:rPr>
        <w:t xml:space="preserve"> for</w:t>
      </w:r>
      <w:proofErr w:type="gramEnd"/>
      <w:r>
        <w:rPr>
          <w:i/>
        </w:rPr>
        <w:t xml:space="preserve"> Section 7.</w:t>
      </w:r>
      <w:r>
        <w:rPr>
          <w:b/>
          <w:i/>
        </w:rPr>
        <w:t xml:space="preserve"> </w:t>
      </w:r>
    </w:p>
    <w:p w14:paraId="5F888910" w14:textId="77777777" w:rsidR="00377535" w:rsidRDefault="00EF017A">
      <w:pPr>
        <w:spacing w:after="151"/>
        <w:ind w:left="-5"/>
      </w:pPr>
      <w:r>
        <w:rPr>
          <w:i/>
        </w:rPr>
        <w:t xml:space="preserve"> </w:t>
      </w:r>
      <w:proofErr w:type="gramStart"/>
      <w:r>
        <w:rPr>
          <w:i/>
        </w:rPr>
        <w:t>“ Duplex</w:t>
      </w:r>
      <w:proofErr w:type="gramEnd"/>
      <w:r>
        <w:rPr>
          <w:i/>
        </w:rPr>
        <w:t xml:space="preserve"> --  </w:t>
      </w:r>
      <w:r>
        <w:rPr>
          <w:i/>
        </w:rPr>
        <w:t xml:space="preserve">a residential building that has two dwelling units in the same building with at least one shared wall or floor/ceiling, and neither unit is an accessory dwelling unit. </w:t>
      </w:r>
      <w:proofErr w:type="gramStart"/>
      <w:r>
        <w:rPr>
          <w:i/>
        </w:rPr>
        <w:t>( 24</w:t>
      </w:r>
      <w:proofErr w:type="gramEnd"/>
      <w:r>
        <w:rPr>
          <w:i/>
        </w:rPr>
        <w:t xml:space="preserve"> VSA 4303 amended by Act 47.)  “Duplex” shall mean the same as “dwelling, two-family,” or </w:t>
      </w:r>
      <w:proofErr w:type="gramStart"/>
      <w:r>
        <w:rPr>
          <w:i/>
        </w:rPr>
        <w:t>“ Two</w:t>
      </w:r>
      <w:proofErr w:type="gramEnd"/>
      <w:r>
        <w:rPr>
          <w:i/>
        </w:rPr>
        <w:t xml:space="preserve">- family residential dwelling or structure.” </w:t>
      </w:r>
    </w:p>
    <w:p w14:paraId="13FF209A" w14:textId="77777777" w:rsidR="00377535" w:rsidRDefault="00EF017A">
      <w:pPr>
        <w:spacing w:after="151"/>
        <w:ind w:left="-5"/>
      </w:pPr>
      <w:r>
        <w:rPr>
          <w:i/>
        </w:rPr>
        <w:t xml:space="preserve">Our current definition for “dwelling, multifamily” is satisfactory.  (Could also add “shall mean the same as “multi-unit.”) </w:t>
      </w:r>
    </w:p>
    <w:p w14:paraId="3D927C1A" w14:textId="77777777" w:rsidR="00377535" w:rsidRDefault="00EF017A">
      <w:pPr>
        <w:spacing w:after="151"/>
        <w:ind w:left="-5"/>
      </w:pPr>
      <w:r>
        <w:rPr>
          <w:i/>
        </w:rPr>
        <w:lastRenderedPageBreak/>
        <w:t xml:space="preserve">The definition of “Residential density” </w:t>
      </w:r>
      <w:proofErr w:type="gramStart"/>
      <w:r>
        <w:rPr>
          <w:i/>
        </w:rPr>
        <w:t>--  the</w:t>
      </w:r>
      <w:proofErr w:type="gramEnd"/>
      <w:r>
        <w:rPr>
          <w:i/>
        </w:rPr>
        <w:t xml:space="preserve"> number of dwelling units allowed per unit of area in a zoning district.  </w:t>
      </w:r>
    </w:p>
    <w:sectPr w:rsidR="00377535">
      <w:pgSz w:w="12240" w:h="15840"/>
      <w:pgMar w:top="1440" w:right="14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6B2"/>
    <w:multiLevelType w:val="hybridMultilevel"/>
    <w:tmpl w:val="8CEA85E2"/>
    <w:lvl w:ilvl="0" w:tplc="8F1CB45C">
      <w:start w:val="1"/>
      <w:numFmt w:val="lowerLetter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063B62">
      <w:start w:val="1"/>
      <w:numFmt w:val="lowerLetter"/>
      <w:lvlText w:val="%2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E72BC">
      <w:start w:val="1"/>
      <w:numFmt w:val="lowerRoman"/>
      <w:lvlText w:val="%3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E13B0">
      <w:start w:val="1"/>
      <w:numFmt w:val="decimal"/>
      <w:lvlText w:val="%4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CB664">
      <w:start w:val="1"/>
      <w:numFmt w:val="lowerLetter"/>
      <w:lvlText w:val="%5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E6536">
      <w:start w:val="1"/>
      <w:numFmt w:val="lowerRoman"/>
      <w:lvlText w:val="%6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E8658">
      <w:start w:val="1"/>
      <w:numFmt w:val="decimal"/>
      <w:lvlText w:val="%7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6E3EE">
      <w:start w:val="1"/>
      <w:numFmt w:val="lowerLetter"/>
      <w:lvlText w:val="%8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EFA92">
      <w:start w:val="1"/>
      <w:numFmt w:val="lowerRoman"/>
      <w:lvlText w:val="%9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952A6"/>
    <w:multiLevelType w:val="hybridMultilevel"/>
    <w:tmpl w:val="C3F060F2"/>
    <w:lvl w:ilvl="0" w:tplc="7F6E4594">
      <w:start w:val="4"/>
      <w:numFmt w:val="lowerLetter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22448">
      <w:start w:val="1"/>
      <w:numFmt w:val="lowerLetter"/>
      <w:lvlText w:val="%2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E5486">
      <w:start w:val="1"/>
      <w:numFmt w:val="lowerRoman"/>
      <w:lvlText w:val="%3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69914">
      <w:start w:val="1"/>
      <w:numFmt w:val="decimal"/>
      <w:lvlText w:val="%4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20A58">
      <w:start w:val="1"/>
      <w:numFmt w:val="lowerLetter"/>
      <w:lvlText w:val="%5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A8D58">
      <w:start w:val="1"/>
      <w:numFmt w:val="lowerRoman"/>
      <w:lvlText w:val="%6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AFB3E">
      <w:start w:val="1"/>
      <w:numFmt w:val="decimal"/>
      <w:lvlText w:val="%7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BE0B40">
      <w:start w:val="1"/>
      <w:numFmt w:val="lowerLetter"/>
      <w:lvlText w:val="%8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46B74">
      <w:start w:val="1"/>
      <w:numFmt w:val="lowerRoman"/>
      <w:lvlText w:val="%9"/>
      <w:lvlJc w:val="left"/>
      <w:pPr>
        <w:ind w:left="6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540644">
    <w:abstractNumId w:val="0"/>
  </w:num>
  <w:num w:numId="2" w16cid:durableId="119596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35"/>
    <w:rsid w:val="00377535"/>
    <w:rsid w:val="00E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18AC"/>
  <w15:docId w15:val="{484A1812-7F3B-4FD7-B01F-E07F4B9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9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Clarke</dc:creator>
  <cp:keywords/>
  <cp:lastModifiedBy>Keith Oborne</cp:lastModifiedBy>
  <cp:revision>2</cp:revision>
  <dcterms:created xsi:type="dcterms:W3CDTF">2024-04-25T19:30:00Z</dcterms:created>
  <dcterms:modified xsi:type="dcterms:W3CDTF">2024-04-25T19:30:00Z</dcterms:modified>
</cp:coreProperties>
</file>