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Planning Commission Minutes 9-12-19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 Brian Tellstone, Scott Nickerson, Virginia Clarke, Lauck Parke, Chris Cole, Jessica Draper, Mark Fausel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Called to Order: 7:08pm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Public Comment: NA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Chairman Election: Tabled until 9/26 due to low attendance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Minutes: Jess will have the commission approve old minutes in batches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Municipal Planning Grant: Jessica explained the options for the MPG funds. Chris Cole gave an update about the new ad-hoc committee for Transportation. Jessica explained how the MPG can be used in conjunction with UPWP funds and that the commission needs to sign off on this particular application. It was decided to review the full application at the next meeting.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Conservation Planning: The commissioners expressed support for the proposed workshops from the state, and Jessica said she would coordinate the workshops.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DRB/ZA regulation Review: Jessica and Virginia discussed the benefits of having the DRB and ZA review the regulations prior to adoption.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Village Downtown District: Jessica explained that the Village Downtown District was adopted at the last selectboard meeting. Virginia explained what was changed to the document and other changes she would like to see made with the next round of adopting regulations. Virginia also discussed what concerns and questions were posed at the last selectboard meeting. Jessica discussed the question about having to go to the DRB repeatedly for differing commercial tenants. The commission reviewed conditional and allowed uses for both Village Downtown and Jolina Court zoning districts. Discussion ensued about definitions for the Jolina Court District. The commission then discussed the facets of the arguments surrounding the residential to commercial ratio for Jolina Court.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Scott moved to adjourn 9:09pm. Seconded by Chris. All were in favor, so moved.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