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Planning Commission Minutes 9-12-19</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Present: Brian Tellstone, Scott Nickerson, Virginia Clarke, Lauck Parke, Chris Cole, Jessica Draper, Mark Fausel</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Called to Order: 7:08pm</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Public Comment: NA</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Chairman Election: Tabled until 9/26 due to low attendance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Minutes: Jess will have the commission approve old minutes in batches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Municipal Planning Grant: Jessica explained the options for the MPG funds. Chris Cole gave an update about the new ad-hoc committee for Transportation. Jessica explained how the MPG can be used in conjunction with UPWP funds and that the commission needs to sign off on this particular application. It was decided to review the full application at the next meeting.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Conservation Planning: The commissioners expressed support for the proposed workshops from the state, and Jessica said she would coordinate the workshops.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DRB/ZA regulation Review: Jessica and Virginia discussed the benefits of having the DRB and ZA review the regulations prior to adoption.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Village Downtown District: Jessica explained that the Village Downtown District was adopted at the last selectboard meeting. Virginia explained what was changed to the document and other changes she would like to see made with the next round of adopting regulations. Virginia also discussed what concerns and questions were posed at the last selectboard meeting. Jessica discussed the question about having to go to the DRB repeatedly for differing commercial tenants. The commission reviewed conditional and allowed uses for both Village Downtown and Jolina Court zoning districts. Discussion ensued about definitions for the Jolina Court District. The commission then discussed the facets of the arguments surrounding the residential to commercial ratio for Jolina Court.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Scott moved to adjourn 9:09pm. Seconded by Chris. All were in favor, so moved.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